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3" w:type="dxa"/>
        <w:tblLayout w:type="fixed"/>
        <w:tblLook w:val="04A0" w:firstRow="1" w:lastRow="0" w:firstColumn="1" w:lastColumn="0" w:noHBand="0" w:noVBand="1"/>
      </w:tblPr>
      <w:tblGrid>
        <w:gridCol w:w="5211"/>
        <w:gridCol w:w="4536"/>
        <w:gridCol w:w="4536"/>
      </w:tblGrid>
      <w:tr w:rsidR="00D02CEC" w:rsidRPr="00157F82" w14:paraId="55C5F27E" w14:textId="77777777" w:rsidTr="00FD138B">
        <w:tc>
          <w:tcPr>
            <w:tcW w:w="5211" w:type="dxa"/>
            <w:hideMark/>
          </w:tcPr>
          <w:p w14:paraId="2BFAE18E" w14:textId="2CCA8858" w:rsidR="00A93F9E" w:rsidRPr="00383DBC" w:rsidRDefault="00A93F9E" w:rsidP="00383DBC">
            <w:pPr>
              <w:widowControl w:val="0"/>
              <w:rPr>
                <w:rFonts w:eastAsia="Batang" w:cs="Times New Roman"/>
                <w:snapToGrid w:val="0"/>
                <w:sz w:val="24"/>
                <w:szCs w:val="24"/>
                <w:lang w:val="ru-RU" w:eastAsia="ru-RU"/>
              </w:rPr>
            </w:pPr>
            <w:bookmarkStart w:id="0" w:name="_GoBack"/>
            <w:bookmarkEnd w:id="0"/>
          </w:p>
        </w:tc>
        <w:tc>
          <w:tcPr>
            <w:tcW w:w="4536" w:type="dxa"/>
            <w:hideMark/>
          </w:tcPr>
          <w:p w14:paraId="52ABDF1A" w14:textId="77777777" w:rsidR="00A93F9E" w:rsidRPr="00383DBC" w:rsidRDefault="00A93F9E" w:rsidP="00383DBC">
            <w:pPr>
              <w:widowControl w:val="0"/>
              <w:rPr>
                <w:rFonts w:eastAsia="Times New Roman" w:cs="Times New Roman"/>
                <w:b/>
                <w:snapToGrid w:val="0"/>
                <w:sz w:val="24"/>
                <w:szCs w:val="24"/>
                <w:lang w:val="ru-RU" w:eastAsia="ru-RU"/>
              </w:rPr>
            </w:pPr>
            <w:r w:rsidRPr="00383DBC">
              <w:rPr>
                <w:rFonts w:eastAsia="Times New Roman" w:cs="Times New Roman"/>
                <w:b/>
                <w:snapToGrid w:val="0"/>
                <w:sz w:val="24"/>
                <w:szCs w:val="24"/>
                <w:lang w:val="ru-RU" w:eastAsia="ru-RU"/>
              </w:rPr>
              <w:t>УТВЕРЖДЕНА</w:t>
            </w:r>
          </w:p>
          <w:p w14:paraId="269AC31C" w14:textId="77777777" w:rsidR="00A93F9E" w:rsidRPr="00383DBC" w:rsidRDefault="00A93F9E" w:rsidP="00383DBC">
            <w:pPr>
              <w:autoSpaceDE w:val="0"/>
              <w:autoSpaceDN w:val="0"/>
              <w:rPr>
                <w:rFonts w:eastAsia="Times New Roman" w:cs="Times New Roman"/>
                <w:sz w:val="24"/>
                <w:szCs w:val="24"/>
                <w:lang w:val="ru-RU" w:eastAsia="ru-RU"/>
              </w:rPr>
            </w:pPr>
            <w:r w:rsidRPr="00383DBC">
              <w:rPr>
                <w:rFonts w:eastAsia="Times New Roman" w:cs="Times New Roman"/>
                <w:sz w:val="24"/>
                <w:szCs w:val="24"/>
                <w:lang w:val="ru-RU" w:eastAsia="ru-RU"/>
              </w:rPr>
              <w:t xml:space="preserve">Приказом Председателя </w:t>
            </w:r>
          </w:p>
          <w:p w14:paraId="1A3BDAC5" w14:textId="77777777" w:rsidR="00A93F9E" w:rsidRPr="00383DBC" w:rsidRDefault="00A93F9E" w:rsidP="00383DBC">
            <w:pPr>
              <w:autoSpaceDE w:val="0"/>
              <w:autoSpaceDN w:val="0"/>
              <w:rPr>
                <w:rFonts w:eastAsia="Times New Roman" w:cs="Times New Roman"/>
                <w:sz w:val="24"/>
                <w:szCs w:val="24"/>
                <w:lang w:val="ru-RU" w:eastAsia="ru-RU"/>
              </w:rPr>
            </w:pPr>
            <w:r w:rsidRPr="00383DBC">
              <w:rPr>
                <w:rFonts w:eastAsia="Times New Roman" w:cs="Times New Roman"/>
                <w:sz w:val="24"/>
                <w:szCs w:val="24"/>
                <w:lang w:val="ru-RU" w:eastAsia="ru-RU"/>
              </w:rPr>
              <w:t xml:space="preserve">РГУ «Комитет медицинского и фармацевтического контроля </w:t>
            </w:r>
          </w:p>
          <w:p w14:paraId="054489FE" w14:textId="77777777" w:rsidR="00A93F9E" w:rsidRPr="00383DBC" w:rsidRDefault="00A93F9E" w:rsidP="00383DBC">
            <w:pPr>
              <w:keepNext/>
              <w:autoSpaceDE w:val="0"/>
              <w:autoSpaceDN w:val="0"/>
              <w:outlineLvl w:val="2"/>
              <w:rPr>
                <w:rFonts w:eastAsia="Times New Roman" w:cs="Times New Roman"/>
                <w:bCs/>
                <w:sz w:val="24"/>
                <w:szCs w:val="24"/>
                <w:lang w:val="ru-RU" w:eastAsia="ru-RU"/>
              </w:rPr>
            </w:pPr>
            <w:r w:rsidRPr="00383DBC">
              <w:rPr>
                <w:rFonts w:eastAsia="Times New Roman" w:cs="Times New Roman"/>
                <w:bCs/>
                <w:sz w:val="24"/>
                <w:szCs w:val="24"/>
                <w:lang w:val="ru-RU" w:eastAsia="ru-RU"/>
              </w:rPr>
              <w:t xml:space="preserve">Министерства здравоохранения </w:t>
            </w:r>
          </w:p>
          <w:p w14:paraId="316E8142" w14:textId="77777777" w:rsidR="00A93F9E" w:rsidRPr="00383DBC" w:rsidRDefault="00A93F9E" w:rsidP="00383DBC">
            <w:pPr>
              <w:keepNext/>
              <w:autoSpaceDE w:val="0"/>
              <w:autoSpaceDN w:val="0"/>
              <w:outlineLvl w:val="3"/>
              <w:rPr>
                <w:rFonts w:eastAsia="Times New Roman" w:cs="Times New Roman"/>
                <w:bCs/>
                <w:sz w:val="24"/>
                <w:szCs w:val="24"/>
                <w:lang w:val="ru-RU" w:eastAsia="ru-RU"/>
              </w:rPr>
            </w:pPr>
            <w:r w:rsidRPr="00383DBC">
              <w:rPr>
                <w:rFonts w:eastAsia="Times New Roman" w:cs="Times New Roman"/>
                <w:bCs/>
                <w:sz w:val="24"/>
                <w:szCs w:val="24"/>
                <w:lang w:val="ru-RU" w:eastAsia="ru-RU"/>
              </w:rPr>
              <w:t>Республики Казахстан</w:t>
            </w:r>
            <w:r w:rsidRPr="00383DBC">
              <w:rPr>
                <w:rFonts w:eastAsia="Times New Roman" w:cs="Times New Roman"/>
                <w:sz w:val="24"/>
                <w:szCs w:val="24"/>
                <w:lang w:val="ru-RU" w:eastAsia="ru-RU"/>
              </w:rPr>
              <w:t>»</w:t>
            </w:r>
          </w:p>
          <w:p w14:paraId="77618C5A" w14:textId="68343F3D" w:rsidR="00A93F9E" w:rsidRPr="00383DBC" w:rsidRDefault="00A93F9E" w:rsidP="00383DBC">
            <w:pPr>
              <w:autoSpaceDE w:val="0"/>
              <w:autoSpaceDN w:val="0"/>
              <w:rPr>
                <w:rFonts w:eastAsia="Times New Roman" w:cs="Times New Roman"/>
                <w:sz w:val="24"/>
                <w:szCs w:val="24"/>
                <w:lang w:val="ru-RU" w:eastAsia="ru-RU"/>
              </w:rPr>
            </w:pPr>
            <w:r w:rsidRPr="00383DBC">
              <w:rPr>
                <w:rFonts w:eastAsia="Times New Roman" w:cs="Times New Roman"/>
                <w:sz w:val="24"/>
                <w:szCs w:val="24"/>
                <w:lang w:val="ru-RU" w:eastAsia="ru-RU"/>
              </w:rPr>
              <w:t>от «_____» __________ г.</w:t>
            </w:r>
          </w:p>
          <w:p w14:paraId="74524E8E" w14:textId="4E023141" w:rsidR="00A93F9E" w:rsidRPr="00383DBC" w:rsidRDefault="00A93F9E" w:rsidP="00383DBC">
            <w:pPr>
              <w:widowControl w:val="0"/>
              <w:rPr>
                <w:rFonts w:eastAsia="Times New Roman" w:cs="Times New Roman"/>
                <w:snapToGrid w:val="0"/>
                <w:sz w:val="24"/>
                <w:szCs w:val="24"/>
                <w:lang w:val="ru-RU" w:eastAsia="ru-RU"/>
              </w:rPr>
            </w:pPr>
            <w:r w:rsidRPr="00383DBC">
              <w:rPr>
                <w:rFonts w:eastAsia="Times New Roman" w:cs="Times New Roman"/>
                <w:snapToGrid w:val="0"/>
                <w:sz w:val="24"/>
                <w:szCs w:val="24"/>
                <w:lang w:val="ru-RU" w:eastAsia="ru-RU"/>
              </w:rPr>
              <w:t>№</w:t>
            </w:r>
            <w:r w:rsidR="00E94811" w:rsidRPr="00383DBC">
              <w:rPr>
                <w:rFonts w:eastAsia="Times New Roman" w:cs="Times New Roman"/>
                <w:snapToGrid w:val="0"/>
                <w:sz w:val="24"/>
                <w:szCs w:val="24"/>
                <w:lang w:val="ru-RU" w:eastAsia="ru-RU"/>
              </w:rPr>
              <w:t>_________</w:t>
            </w:r>
            <w:r w:rsidRPr="00383DBC">
              <w:rPr>
                <w:rFonts w:eastAsia="Times New Roman" w:cs="Times New Roman"/>
                <w:snapToGrid w:val="0"/>
                <w:sz w:val="24"/>
                <w:szCs w:val="24"/>
                <w:lang w:val="ru-RU" w:eastAsia="ru-RU"/>
              </w:rPr>
              <w:t xml:space="preserve"> </w:t>
            </w:r>
          </w:p>
        </w:tc>
        <w:tc>
          <w:tcPr>
            <w:tcW w:w="4536" w:type="dxa"/>
          </w:tcPr>
          <w:p w14:paraId="149C9327" w14:textId="77777777" w:rsidR="00A93F9E" w:rsidRPr="00383DBC" w:rsidRDefault="00A93F9E" w:rsidP="00383DBC">
            <w:pPr>
              <w:widowControl w:val="0"/>
              <w:jc w:val="center"/>
              <w:rPr>
                <w:rFonts w:eastAsia="Times New Roman" w:cs="Times New Roman"/>
                <w:b/>
                <w:snapToGrid w:val="0"/>
                <w:sz w:val="24"/>
                <w:szCs w:val="24"/>
                <w:lang w:val="ru-RU" w:eastAsia="ru-RU"/>
              </w:rPr>
            </w:pPr>
            <w:r w:rsidRPr="00383DBC">
              <w:rPr>
                <w:rFonts w:eastAsia="Times New Roman" w:cs="Times New Roman"/>
                <w:b/>
                <w:snapToGrid w:val="0"/>
                <w:sz w:val="24"/>
                <w:szCs w:val="24"/>
                <w:lang w:val="ru-RU" w:eastAsia="ru-RU"/>
              </w:rPr>
              <w:t xml:space="preserve"> </w:t>
            </w:r>
          </w:p>
        </w:tc>
      </w:tr>
      <w:tr w:rsidR="00A93F9E" w:rsidRPr="00157F82" w14:paraId="5D6E1BAA" w14:textId="77777777" w:rsidTr="00FD138B">
        <w:tc>
          <w:tcPr>
            <w:tcW w:w="5211" w:type="dxa"/>
          </w:tcPr>
          <w:p w14:paraId="25F4B5E0" w14:textId="77777777" w:rsidR="00A93F9E" w:rsidRPr="00383DBC" w:rsidRDefault="00A93F9E" w:rsidP="00383DBC">
            <w:pPr>
              <w:widowControl w:val="0"/>
              <w:rPr>
                <w:rFonts w:eastAsia="Batang" w:cs="Times New Roman"/>
                <w:sz w:val="24"/>
                <w:szCs w:val="24"/>
                <w:lang w:val="ru-RU" w:eastAsia="ru-RU"/>
              </w:rPr>
            </w:pPr>
          </w:p>
        </w:tc>
        <w:tc>
          <w:tcPr>
            <w:tcW w:w="4536" w:type="dxa"/>
          </w:tcPr>
          <w:p w14:paraId="37F20DA5" w14:textId="77777777" w:rsidR="00A93F9E" w:rsidRPr="00383DBC" w:rsidRDefault="00A93F9E" w:rsidP="00383DBC">
            <w:pPr>
              <w:autoSpaceDE w:val="0"/>
              <w:autoSpaceDN w:val="0"/>
              <w:rPr>
                <w:rFonts w:eastAsia="Batang" w:cs="Times New Roman"/>
                <w:sz w:val="24"/>
                <w:szCs w:val="24"/>
                <w:lang w:val="ru-RU" w:eastAsia="ru-RU"/>
              </w:rPr>
            </w:pPr>
          </w:p>
        </w:tc>
        <w:tc>
          <w:tcPr>
            <w:tcW w:w="4536" w:type="dxa"/>
          </w:tcPr>
          <w:p w14:paraId="5C02406A" w14:textId="77777777" w:rsidR="00A93F9E" w:rsidRPr="00383DBC" w:rsidRDefault="00A93F9E" w:rsidP="00383DBC">
            <w:pPr>
              <w:autoSpaceDE w:val="0"/>
              <w:autoSpaceDN w:val="0"/>
              <w:jc w:val="center"/>
              <w:rPr>
                <w:rFonts w:eastAsia="Batang" w:cs="Times New Roman"/>
                <w:sz w:val="24"/>
                <w:szCs w:val="24"/>
                <w:lang w:val="ru-RU" w:eastAsia="ru-RU"/>
              </w:rPr>
            </w:pPr>
          </w:p>
        </w:tc>
      </w:tr>
    </w:tbl>
    <w:p w14:paraId="64283DF2" w14:textId="77777777" w:rsidR="00A93F9E" w:rsidRPr="00383DBC" w:rsidRDefault="00A93F9E" w:rsidP="00383DBC">
      <w:pPr>
        <w:jc w:val="center"/>
        <w:rPr>
          <w:rFonts w:cs="Times New Roman"/>
          <w:sz w:val="24"/>
          <w:szCs w:val="24"/>
          <w:lang w:val="ru-RU"/>
        </w:rPr>
      </w:pPr>
    </w:p>
    <w:p w14:paraId="76DD4A0C" w14:textId="77777777" w:rsidR="00A93F9E" w:rsidRPr="00383DBC" w:rsidRDefault="00A93F9E" w:rsidP="00383DBC">
      <w:pPr>
        <w:autoSpaceDE w:val="0"/>
        <w:autoSpaceDN w:val="0"/>
        <w:jc w:val="center"/>
        <w:rPr>
          <w:rFonts w:eastAsia="Times New Roman" w:cs="Times New Roman"/>
          <w:b/>
          <w:sz w:val="24"/>
          <w:szCs w:val="24"/>
          <w:lang w:val="ru-RU" w:eastAsia="ru-RU"/>
        </w:rPr>
      </w:pPr>
      <w:r w:rsidRPr="00383DBC">
        <w:rPr>
          <w:rFonts w:eastAsia="Times New Roman" w:cs="Times New Roman"/>
          <w:b/>
          <w:sz w:val="24"/>
          <w:szCs w:val="24"/>
          <w:lang w:val="ru-RU" w:eastAsia="ru-RU"/>
        </w:rPr>
        <w:t>ОБЩАЯ ХАРАКТЕРИСТИКА ЛЕКАРСТВЕННОГО ПРЕПАРАТА</w:t>
      </w:r>
    </w:p>
    <w:p w14:paraId="226EA619" w14:textId="03DC31EF" w:rsidR="00A93F9E" w:rsidRDefault="00A93F9E" w:rsidP="00383DBC">
      <w:pPr>
        <w:jc w:val="center"/>
        <w:rPr>
          <w:rFonts w:eastAsia="SimSun" w:cs="Times New Roman"/>
          <w:b/>
          <w:sz w:val="24"/>
          <w:szCs w:val="24"/>
          <w:lang w:val="ru-RU" w:eastAsia="ru-RU"/>
        </w:rPr>
      </w:pPr>
    </w:p>
    <w:p w14:paraId="317451FA" w14:textId="33CCDA3E" w:rsidR="00FE7873" w:rsidRPr="00C6706B" w:rsidRDefault="00FE7873" w:rsidP="00EE3D44">
      <w:pPr>
        <w:jc w:val="both"/>
        <w:rPr>
          <w:rFonts w:eastAsia="SimSun" w:cs="Times New Roman"/>
          <w:b/>
          <w:sz w:val="24"/>
          <w:szCs w:val="24"/>
          <w:lang w:val="ru-RU" w:eastAsia="ru-RU"/>
        </w:rPr>
      </w:pPr>
      <w:r w:rsidRPr="00C6706B">
        <w:rPr>
          <w:rFonts w:eastAsia="SimSun" w:cs="Times New Roman"/>
          <w:b/>
          <w:sz w:val="24"/>
          <w:szCs w:val="24"/>
          <w:lang w:val="ru-RU" w:eastAsia="ru-RU"/>
        </w:rPr>
        <w:t>▼</w:t>
      </w:r>
      <w:r w:rsidR="00EE3D44" w:rsidRPr="00C6706B">
        <w:rPr>
          <w:rFonts w:eastAsia="SimSun" w:cs="Times New Roman"/>
          <w:b/>
          <w:sz w:val="24"/>
          <w:szCs w:val="24"/>
          <w:lang w:val="ru-RU" w:eastAsia="ru-RU"/>
        </w:rPr>
        <w:t>Д</w:t>
      </w:r>
      <w:r w:rsidRPr="00C6706B">
        <w:rPr>
          <w:rFonts w:eastAsia="SimSun" w:cs="Times New Roman"/>
          <w:b/>
          <w:sz w:val="24"/>
          <w:szCs w:val="24"/>
          <w:lang w:val="ru-RU" w:eastAsia="ru-RU"/>
        </w:rPr>
        <w:t>анный лекарственный препарат</w:t>
      </w:r>
      <w:r w:rsidR="00EE3D44" w:rsidRPr="00C6706B">
        <w:rPr>
          <w:rFonts w:eastAsia="SimSun" w:cs="Times New Roman"/>
          <w:b/>
          <w:sz w:val="24"/>
          <w:szCs w:val="24"/>
          <w:lang w:val="ru-RU" w:eastAsia="ru-RU"/>
        </w:rPr>
        <w:t xml:space="preserve"> является</w:t>
      </w:r>
      <w:r w:rsidRPr="00C6706B">
        <w:rPr>
          <w:rFonts w:eastAsia="SimSun" w:cs="Times New Roman"/>
          <w:b/>
          <w:sz w:val="24"/>
          <w:szCs w:val="24"/>
          <w:lang w:val="ru-RU" w:eastAsia="ru-RU"/>
        </w:rPr>
        <w:t xml:space="preserve"> объектом дополнительного мониторинга</w:t>
      </w:r>
    </w:p>
    <w:p w14:paraId="141AF45A" w14:textId="77777777" w:rsidR="00FE7873" w:rsidRPr="00C6706B" w:rsidRDefault="00FE7873" w:rsidP="00383DBC">
      <w:pPr>
        <w:jc w:val="center"/>
        <w:rPr>
          <w:rFonts w:eastAsia="SimSun" w:cs="Times New Roman"/>
          <w:b/>
          <w:sz w:val="24"/>
          <w:szCs w:val="24"/>
          <w:lang w:val="ru-RU" w:eastAsia="ru-RU"/>
        </w:rPr>
      </w:pPr>
    </w:p>
    <w:p w14:paraId="03449149" w14:textId="0543F159" w:rsidR="00A93F9E" w:rsidRPr="00C6706B" w:rsidRDefault="00A93F9E" w:rsidP="003F426C">
      <w:pPr>
        <w:pStyle w:val="1"/>
        <w:spacing w:before="0" w:after="0"/>
        <w:jc w:val="both"/>
        <w:rPr>
          <w:rFonts w:cs="Times New Roman"/>
          <w:sz w:val="24"/>
          <w:szCs w:val="24"/>
          <w:lang w:val="ru-RU"/>
        </w:rPr>
      </w:pPr>
      <w:bookmarkStart w:id="1" w:name="_i4i33RiR1B5UnJeu4QwCrvwLr"/>
      <w:bookmarkEnd w:id="1"/>
      <w:r w:rsidRPr="00C6706B">
        <w:rPr>
          <w:rFonts w:eastAsia="Times New Roman" w:cs="Times New Roman"/>
          <w:bCs w:val="0"/>
          <w:caps w:val="0"/>
          <w:sz w:val="24"/>
          <w:szCs w:val="24"/>
          <w:lang w:val="ru-RU" w:eastAsia="ru-RU"/>
        </w:rPr>
        <w:t>1. НАИМЕНОВАНИЕ ЛЕКАРСТВЕННОГО ПРЕПАРАТА</w:t>
      </w:r>
      <w:bookmarkStart w:id="2" w:name="_i4i3ioPM2k8tnQRYJK0b1XHh7"/>
      <w:bookmarkEnd w:id="2"/>
    </w:p>
    <w:p w14:paraId="57374989" w14:textId="79B0FAAB" w:rsidR="009275C2" w:rsidRPr="00C6706B" w:rsidRDefault="00647FCC" w:rsidP="003F426C">
      <w:pPr>
        <w:jc w:val="both"/>
        <w:rPr>
          <w:rFonts w:eastAsia="SimSun" w:cs="Times New Roman"/>
          <w:sz w:val="24"/>
          <w:szCs w:val="24"/>
          <w:lang w:val="ru-RU" w:eastAsia="ru-RU"/>
        </w:rPr>
      </w:pPr>
      <w:r w:rsidRPr="00C6706B">
        <w:rPr>
          <w:rFonts w:eastAsia="SimSun" w:cs="Times New Roman"/>
          <w:sz w:val="24"/>
          <w:szCs w:val="24"/>
          <w:lang w:val="ru-RU" w:eastAsia="ru-RU"/>
        </w:rPr>
        <w:t>Сипонимод-Виста,</w:t>
      </w:r>
      <w:r w:rsidR="00C95542" w:rsidRPr="00C6706B">
        <w:rPr>
          <w:rFonts w:eastAsia="SimSun" w:cs="Times New Roman"/>
          <w:sz w:val="24"/>
          <w:szCs w:val="24"/>
          <w:lang w:val="ru-RU" w:eastAsia="ru-RU"/>
        </w:rPr>
        <w:t xml:space="preserve"> 0.25 мг,</w:t>
      </w:r>
      <w:r w:rsidRPr="00C6706B">
        <w:rPr>
          <w:rFonts w:eastAsia="SimSun" w:cs="Times New Roman"/>
          <w:sz w:val="24"/>
          <w:szCs w:val="24"/>
          <w:lang w:val="ru-RU" w:eastAsia="ru-RU"/>
        </w:rPr>
        <w:t xml:space="preserve"> </w:t>
      </w:r>
      <w:r w:rsidR="009275C2" w:rsidRPr="00C6706B">
        <w:rPr>
          <w:rFonts w:eastAsia="SimSun" w:cs="Times New Roman"/>
          <w:sz w:val="24"/>
          <w:szCs w:val="24"/>
          <w:lang w:val="ru-RU" w:eastAsia="ru-RU"/>
        </w:rPr>
        <w:t>таблетки, покрытые пленочной оболочкой</w:t>
      </w:r>
    </w:p>
    <w:p w14:paraId="7BE4D768" w14:textId="11F6EDB8" w:rsidR="009275C2" w:rsidRPr="00C6706B" w:rsidRDefault="00647FCC" w:rsidP="003F426C">
      <w:pPr>
        <w:jc w:val="both"/>
        <w:rPr>
          <w:rFonts w:eastAsia="SimSun" w:cs="Times New Roman"/>
          <w:sz w:val="24"/>
          <w:szCs w:val="24"/>
          <w:lang w:val="ru-RU" w:eastAsia="ru-RU"/>
        </w:rPr>
      </w:pPr>
      <w:r w:rsidRPr="00C6706B">
        <w:rPr>
          <w:rFonts w:eastAsia="SimSun" w:cs="Times New Roman"/>
          <w:sz w:val="24"/>
          <w:szCs w:val="24"/>
          <w:lang w:val="ru-RU" w:eastAsia="ru-RU"/>
        </w:rPr>
        <w:t>Сипонимод-Виста</w:t>
      </w:r>
      <w:r w:rsidR="009275C2" w:rsidRPr="00C6706B">
        <w:rPr>
          <w:rFonts w:eastAsia="SimSun" w:cs="Times New Roman"/>
          <w:sz w:val="24"/>
          <w:szCs w:val="24"/>
          <w:lang w:val="ru-RU" w:eastAsia="ru-RU"/>
        </w:rPr>
        <w:t xml:space="preserve">, </w:t>
      </w:r>
      <w:r w:rsidR="00C95542" w:rsidRPr="00C6706B">
        <w:rPr>
          <w:rFonts w:eastAsia="SimSun" w:cs="Times New Roman"/>
          <w:sz w:val="24"/>
          <w:szCs w:val="24"/>
          <w:lang w:val="ru-RU" w:eastAsia="ru-RU"/>
        </w:rPr>
        <w:t xml:space="preserve">1.0 мг, </w:t>
      </w:r>
      <w:r w:rsidR="009275C2" w:rsidRPr="00C6706B">
        <w:rPr>
          <w:rFonts w:eastAsia="SimSun" w:cs="Times New Roman"/>
          <w:sz w:val="24"/>
          <w:szCs w:val="24"/>
          <w:lang w:val="ru-RU" w:eastAsia="ru-RU"/>
        </w:rPr>
        <w:t>таблетки, покрыт</w:t>
      </w:r>
      <w:r w:rsidRPr="00C6706B">
        <w:rPr>
          <w:rFonts w:eastAsia="SimSun" w:cs="Times New Roman"/>
          <w:sz w:val="24"/>
          <w:szCs w:val="24"/>
          <w:lang w:val="ru-RU" w:eastAsia="ru-RU"/>
        </w:rPr>
        <w:t>ые пленочной оболочкой</w:t>
      </w:r>
    </w:p>
    <w:p w14:paraId="03298277" w14:textId="3FFB2877" w:rsidR="009275C2" w:rsidRPr="00C6706B" w:rsidRDefault="00647FCC" w:rsidP="003F426C">
      <w:pPr>
        <w:jc w:val="both"/>
        <w:rPr>
          <w:rFonts w:eastAsia="SimSun" w:cs="Times New Roman"/>
          <w:sz w:val="24"/>
          <w:szCs w:val="24"/>
          <w:lang w:val="ru-RU" w:eastAsia="ru-RU"/>
        </w:rPr>
      </w:pPr>
      <w:r w:rsidRPr="00C6706B">
        <w:rPr>
          <w:rFonts w:eastAsia="SimSun" w:cs="Times New Roman"/>
          <w:sz w:val="24"/>
          <w:szCs w:val="24"/>
          <w:lang w:val="ru-RU" w:eastAsia="ru-RU"/>
        </w:rPr>
        <w:t xml:space="preserve">Сипонимод-Виста, </w:t>
      </w:r>
      <w:r w:rsidR="00C95542" w:rsidRPr="00C6706B">
        <w:rPr>
          <w:rFonts w:eastAsia="SimSun" w:cs="Times New Roman"/>
          <w:sz w:val="24"/>
          <w:szCs w:val="24"/>
          <w:lang w:val="ru-RU" w:eastAsia="ru-RU"/>
        </w:rPr>
        <w:t xml:space="preserve">2.0 мг, </w:t>
      </w:r>
      <w:r w:rsidRPr="00C6706B">
        <w:rPr>
          <w:rFonts w:eastAsia="SimSun" w:cs="Times New Roman"/>
          <w:sz w:val="24"/>
          <w:szCs w:val="24"/>
          <w:lang w:val="ru-RU" w:eastAsia="ru-RU"/>
        </w:rPr>
        <w:t xml:space="preserve">таблетки, покрытые пленочной оболочкой </w:t>
      </w:r>
    </w:p>
    <w:p w14:paraId="2C02B47A" w14:textId="77777777" w:rsidR="00647FCC" w:rsidRPr="00C6706B" w:rsidRDefault="00647FCC" w:rsidP="003F426C">
      <w:pPr>
        <w:tabs>
          <w:tab w:val="left" w:pos="6187"/>
        </w:tabs>
        <w:jc w:val="both"/>
        <w:rPr>
          <w:rFonts w:eastAsia="SimSun" w:cs="Times New Roman"/>
          <w:sz w:val="24"/>
          <w:szCs w:val="24"/>
          <w:lang w:val="ru-RU" w:eastAsia="ru-RU"/>
        </w:rPr>
      </w:pPr>
    </w:p>
    <w:p w14:paraId="7886520B" w14:textId="5155C8AA" w:rsidR="00A93F9E" w:rsidRPr="00C6706B" w:rsidRDefault="00A93F9E" w:rsidP="003F426C">
      <w:pPr>
        <w:pStyle w:val="1"/>
        <w:spacing w:before="0" w:after="0"/>
        <w:jc w:val="both"/>
        <w:rPr>
          <w:rFonts w:cs="Times New Roman"/>
          <w:sz w:val="24"/>
          <w:szCs w:val="24"/>
          <w:lang w:val="ru-RU"/>
        </w:rPr>
      </w:pPr>
      <w:bookmarkStart w:id="3" w:name="_i4i53SCb8RIFSuiiewAyvlVFP"/>
      <w:bookmarkStart w:id="4" w:name="_i4i1aT5fjP8yc7uuaEUmi0e05"/>
      <w:bookmarkEnd w:id="3"/>
      <w:bookmarkEnd w:id="4"/>
      <w:r w:rsidRPr="00C6706B">
        <w:rPr>
          <w:rFonts w:cs="Times New Roman"/>
          <w:sz w:val="24"/>
          <w:szCs w:val="24"/>
          <w:lang w:val="ru-RU"/>
        </w:rPr>
        <w:t>2. КАЧЕСТВЕННЫЙ И КОЛИЧЕСТВЕННЫЙ СОСТАВ</w:t>
      </w:r>
    </w:p>
    <w:p w14:paraId="54065680" w14:textId="0A3E69DC" w:rsidR="00A93F9E" w:rsidRPr="00C6706B" w:rsidRDefault="00A93F9E" w:rsidP="003F426C">
      <w:pPr>
        <w:jc w:val="both"/>
        <w:rPr>
          <w:rStyle w:val="22"/>
          <w:rFonts w:eastAsia="Times New Roman" w:cs="Times New Roman"/>
          <w:sz w:val="24"/>
          <w:szCs w:val="24"/>
          <w:lang w:val="ru-RU" w:eastAsia="ru-RU"/>
        </w:rPr>
      </w:pPr>
      <w:bookmarkStart w:id="5" w:name="_i4i1PGSf1E2OFmu0NN8xH5fJu"/>
      <w:bookmarkEnd w:id="5"/>
      <w:r w:rsidRPr="00C6706B">
        <w:rPr>
          <w:rFonts w:eastAsia="Times New Roman" w:cs="Times New Roman"/>
          <w:b/>
          <w:bCs/>
          <w:sz w:val="24"/>
          <w:szCs w:val="24"/>
          <w:lang w:val="ru-RU" w:eastAsia="ru-RU"/>
        </w:rPr>
        <w:t>2.1 Общее описание</w:t>
      </w:r>
    </w:p>
    <w:p w14:paraId="1FFB5A69" w14:textId="7DFD1E24" w:rsidR="00647FCC" w:rsidRPr="00C6706B" w:rsidRDefault="00703AD5" w:rsidP="003F426C">
      <w:pPr>
        <w:jc w:val="both"/>
        <w:rPr>
          <w:rFonts w:eastAsia="Times New Roman" w:cs="Times New Roman"/>
          <w:b/>
          <w:bCs/>
          <w:sz w:val="24"/>
          <w:szCs w:val="24"/>
          <w:lang w:val="ru-RU" w:eastAsia="ru-RU"/>
        </w:rPr>
      </w:pPr>
      <w:bookmarkStart w:id="6" w:name="_i4i6V7VHCYeqILio2NXAoIprA"/>
      <w:bookmarkStart w:id="7" w:name="_i4i1jC8AUSgH2kjF8Smf5SXWE"/>
      <w:bookmarkEnd w:id="6"/>
      <w:bookmarkEnd w:id="7"/>
      <w:r w:rsidRPr="00C6706B">
        <w:rPr>
          <w:rFonts w:cs="Times New Roman"/>
          <w:sz w:val="24"/>
          <w:szCs w:val="24"/>
          <w:lang w:val="ru-RU"/>
        </w:rPr>
        <w:t>С</w:t>
      </w:r>
      <w:r w:rsidR="00647FCC" w:rsidRPr="00C6706B">
        <w:rPr>
          <w:rFonts w:cs="Times New Roman"/>
          <w:sz w:val="24"/>
          <w:szCs w:val="24"/>
          <w:lang w:val="ru-RU"/>
        </w:rPr>
        <w:t>ипонимод в виде кислоты</w:t>
      </w:r>
      <w:r w:rsidRPr="00C6706B">
        <w:rPr>
          <w:rFonts w:cs="Times New Roman"/>
          <w:sz w:val="24"/>
          <w:szCs w:val="24"/>
          <w:lang w:val="ru-RU"/>
        </w:rPr>
        <w:t xml:space="preserve"> адипиновой</w:t>
      </w:r>
    </w:p>
    <w:p w14:paraId="07E2C397" w14:textId="23BCBD13" w:rsidR="00A93F9E" w:rsidRPr="00C6706B" w:rsidRDefault="00A93F9E" w:rsidP="003F426C">
      <w:pPr>
        <w:jc w:val="both"/>
        <w:rPr>
          <w:rStyle w:val="22"/>
          <w:rFonts w:eastAsia="Times New Roman" w:cs="Times New Roman"/>
          <w:sz w:val="24"/>
          <w:szCs w:val="24"/>
          <w:lang w:val="ru-RU" w:eastAsia="ru-RU"/>
        </w:rPr>
      </w:pPr>
      <w:r w:rsidRPr="00C6706B">
        <w:rPr>
          <w:rFonts w:eastAsia="Times New Roman" w:cs="Times New Roman"/>
          <w:b/>
          <w:bCs/>
          <w:sz w:val="24"/>
          <w:szCs w:val="24"/>
          <w:lang w:val="ru-RU" w:eastAsia="ru-RU"/>
        </w:rPr>
        <w:t>2.2 Качественный и количественный состав</w:t>
      </w:r>
    </w:p>
    <w:p w14:paraId="21763560" w14:textId="3AA9F571" w:rsidR="00A93F9E" w:rsidRPr="00C6706B" w:rsidRDefault="00A93F9E" w:rsidP="003F426C">
      <w:pPr>
        <w:jc w:val="both"/>
        <w:rPr>
          <w:rFonts w:eastAsia="Times New Roman" w:cs="Times New Roman"/>
          <w:sz w:val="24"/>
          <w:szCs w:val="24"/>
          <w:lang w:val="ru-RU"/>
        </w:rPr>
      </w:pPr>
      <w:bookmarkStart w:id="8" w:name="_Hlk186179036"/>
      <w:r w:rsidRPr="00C6706B">
        <w:rPr>
          <w:rFonts w:eastAsia="Times New Roman" w:cs="Times New Roman"/>
          <w:bCs/>
          <w:sz w:val="24"/>
          <w:szCs w:val="24"/>
          <w:lang w:val="ru-RU" w:eastAsia="ru-RU"/>
        </w:rPr>
        <w:t xml:space="preserve">Одна </w:t>
      </w:r>
      <w:r w:rsidR="004975EB" w:rsidRPr="00C6706B">
        <w:rPr>
          <w:rFonts w:eastAsia="Times New Roman" w:cs="Times New Roman"/>
          <w:bCs/>
          <w:sz w:val="24"/>
          <w:szCs w:val="24"/>
          <w:lang w:val="ru-RU" w:eastAsia="ru-RU"/>
        </w:rPr>
        <w:t xml:space="preserve">таблетка, покрытая </w:t>
      </w:r>
      <w:r w:rsidR="00AF02C9" w:rsidRPr="00C6706B">
        <w:rPr>
          <w:rFonts w:eastAsia="Times New Roman" w:cs="Times New Roman"/>
          <w:bCs/>
          <w:sz w:val="24"/>
          <w:szCs w:val="24"/>
          <w:lang w:val="ru-RU" w:eastAsia="ru-RU"/>
        </w:rPr>
        <w:t>пленочной оболочкой,</w:t>
      </w:r>
      <w:r w:rsidR="004975EB" w:rsidRPr="00C6706B">
        <w:rPr>
          <w:rFonts w:eastAsia="Times New Roman" w:cs="Times New Roman"/>
          <w:bCs/>
          <w:sz w:val="24"/>
          <w:szCs w:val="24"/>
          <w:lang w:val="ru-RU" w:eastAsia="ru-RU"/>
        </w:rPr>
        <w:t xml:space="preserve"> </w:t>
      </w:r>
      <w:r w:rsidRPr="00C6706B">
        <w:rPr>
          <w:rFonts w:eastAsia="Times New Roman" w:cs="Times New Roman"/>
          <w:sz w:val="24"/>
          <w:szCs w:val="24"/>
          <w:lang w:val="ru-RU"/>
        </w:rPr>
        <w:t>содержит</w:t>
      </w:r>
    </w:p>
    <w:p w14:paraId="521427A5" w14:textId="2241A954" w:rsidR="00A27C8A" w:rsidRPr="00C6706B" w:rsidRDefault="00A93F9E" w:rsidP="003F426C">
      <w:pPr>
        <w:jc w:val="both"/>
        <w:rPr>
          <w:rFonts w:eastAsia="Times New Roman" w:cs="Times New Roman"/>
          <w:sz w:val="24"/>
          <w:szCs w:val="24"/>
          <w:lang w:val="ru-RU"/>
        </w:rPr>
      </w:pPr>
      <w:r w:rsidRPr="00C6706B">
        <w:rPr>
          <w:rFonts w:eastAsia="Times New Roman" w:cs="Times New Roman"/>
          <w:i/>
          <w:sz w:val="24"/>
          <w:szCs w:val="24"/>
          <w:lang w:val="ru-RU"/>
        </w:rPr>
        <w:t>активное вещество</w:t>
      </w:r>
      <w:r w:rsidR="00EB709A" w:rsidRPr="00C6706B">
        <w:rPr>
          <w:rFonts w:eastAsia="Times New Roman" w:cs="Times New Roman"/>
          <w:i/>
          <w:sz w:val="24"/>
          <w:szCs w:val="24"/>
          <w:lang w:val="ru-RU"/>
        </w:rPr>
        <w:t xml:space="preserve"> - </w:t>
      </w:r>
      <w:r w:rsidR="00EB709A" w:rsidRPr="00C6706B">
        <w:rPr>
          <w:rFonts w:eastAsia="Times New Roman" w:cs="Times New Roman"/>
          <w:sz w:val="24"/>
          <w:szCs w:val="24"/>
          <w:lang w:val="ru-RU"/>
        </w:rPr>
        <w:t>сипонимод в виде кислоты адипиновой 0.285 мг, 1.141 мг или 2.283 мг (сипонимод в виде свободной основы 0.25 мг, 1.0 мг или 2.0 мг соответственно);</w:t>
      </w:r>
    </w:p>
    <w:p w14:paraId="56282A9B" w14:textId="1F0AE15D" w:rsidR="00D64EA8" w:rsidRPr="00C6706B" w:rsidRDefault="004B39BA" w:rsidP="002B0543">
      <w:pPr>
        <w:jc w:val="both"/>
        <w:rPr>
          <w:rFonts w:cs="Times New Roman"/>
          <w:sz w:val="24"/>
          <w:szCs w:val="24"/>
          <w:lang w:val="ru-RU"/>
        </w:rPr>
      </w:pPr>
      <w:r w:rsidRPr="00C6706B">
        <w:rPr>
          <w:rFonts w:cs="Times New Roman"/>
          <w:i/>
          <w:sz w:val="24"/>
          <w:szCs w:val="24"/>
          <w:lang w:val="ru-RU"/>
        </w:rPr>
        <w:t>вспомогательные вещества</w:t>
      </w:r>
      <w:r w:rsidRPr="00C6706B">
        <w:rPr>
          <w:rFonts w:cs="Times New Roman"/>
          <w:sz w:val="24"/>
          <w:szCs w:val="24"/>
          <w:lang w:val="ru-RU"/>
        </w:rPr>
        <w:t>:</w:t>
      </w:r>
      <w:r w:rsidR="004C1071" w:rsidRPr="00C6706B">
        <w:rPr>
          <w:rFonts w:cs="Times New Roman"/>
          <w:sz w:val="24"/>
          <w:szCs w:val="24"/>
          <w:lang w:val="ru-RU"/>
        </w:rPr>
        <w:t xml:space="preserve"> изомальт, спирт поливиниловый, частично гидролизованный.</w:t>
      </w:r>
    </w:p>
    <w:p w14:paraId="7371AFD4" w14:textId="77777777" w:rsidR="00D64EA8" w:rsidRPr="00C6706B" w:rsidRDefault="00D64EA8" w:rsidP="002B0543">
      <w:pPr>
        <w:jc w:val="both"/>
        <w:rPr>
          <w:rFonts w:cs="Times New Roman"/>
          <w:sz w:val="24"/>
          <w:szCs w:val="24"/>
          <w:lang w:val="ru-RU"/>
        </w:rPr>
      </w:pPr>
    </w:p>
    <w:p w14:paraId="54A576BF" w14:textId="5DF74DD4" w:rsidR="00647FCC" w:rsidRPr="00C6706B" w:rsidRDefault="00647FCC" w:rsidP="002B0543">
      <w:pPr>
        <w:jc w:val="both"/>
        <w:rPr>
          <w:rFonts w:cs="Times New Roman"/>
          <w:sz w:val="24"/>
          <w:szCs w:val="24"/>
          <w:lang w:val="ru-RU"/>
        </w:rPr>
      </w:pPr>
      <w:r w:rsidRPr="00C6706B">
        <w:rPr>
          <w:rFonts w:cs="Times New Roman"/>
          <w:sz w:val="24"/>
          <w:szCs w:val="24"/>
          <w:lang w:val="ru-RU"/>
        </w:rPr>
        <w:t>Полный список вспомогательных веществ приведен в разделе 6.1.</w:t>
      </w:r>
    </w:p>
    <w:bookmarkEnd w:id="8"/>
    <w:p w14:paraId="0B01AEE4" w14:textId="77777777" w:rsidR="00294CFF" w:rsidRPr="00C6706B" w:rsidRDefault="00294CFF" w:rsidP="002B0543">
      <w:pPr>
        <w:autoSpaceDE w:val="0"/>
        <w:autoSpaceDN w:val="0"/>
        <w:adjustRightInd w:val="0"/>
        <w:jc w:val="both"/>
        <w:rPr>
          <w:rFonts w:eastAsia="Times New Roman" w:cs="Times New Roman"/>
          <w:b/>
          <w:bCs/>
          <w:snapToGrid w:val="0"/>
          <w:sz w:val="24"/>
          <w:szCs w:val="24"/>
          <w:lang w:val="ru-RU" w:eastAsia="ru-RU"/>
        </w:rPr>
      </w:pPr>
    </w:p>
    <w:p w14:paraId="0DE1842A" w14:textId="6E9101ED" w:rsidR="00A93F9E" w:rsidRPr="00C6706B" w:rsidRDefault="00A93F9E" w:rsidP="002B0543">
      <w:pPr>
        <w:pStyle w:val="1"/>
        <w:spacing w:before="0" w:after="0"/>
        <w:jc w:val="both"/>
        <w:rPr>
          <w:rFonts w:cs="Times New Roman"/>
          <w:sz w:val="24"/>
          <w:szCs w:val="24"/>
          <w:lang w:val="ru-RU"/>
        </w:rPr>
      </w:pPr>
      <w:bookmarkStart w:id="9" w:name="_i4i4uFg7QpoelGQoIVqZ9zmkP"/>
      <w:bookmarkEnd w:id="9"/>
      <w:r w:rsidRPr="00C6706B">
        <w:rPr>
          <w:rFonts w:cs="Times New Roman"/>
          <w:sz w:val="24"/>
          <w:szCs w:val="24"/>
          <w:lang w:val="ru-RU"/>
        </w:rPr>
        <w:t>3. ЛЕКАРСТВЕННАЯ ФОРМА</w:t>
      </w:r>
    </w:p>
    <w:p w14:paraId="2A957EEE" w14:textId="09DD2B4E" w:rsidR="00E94811" w:rsidRPr="00C6706B" w:rsidRDefault="004975EB" w:rsidP="002B0543">
      <w:pPr>
        <w:pStyle w:val="aff4"/>
        <w:jc w:val="both"/>
        <w:rPr>
          <w:rFonts w:ascii="Times New Roman" w:hAnsi="Times New Roman" w:cs="Times New Roman"/>
          <w:sz w:val="24"/>
          <w:szCs w:val="24"/>
          <w:lang w:val="ru-RU"/>
        </w:rPr>
      </w:pPr>
      <w:r w:rsidRPr="00C6706B">
        <w:rPr>
          <w:rFonts w:ascii="Times New Roman" w:eastAsia="Times New Roman" w:hAnsi="Times New Roman" w:cs="Times New Roman"/>
          <w:sz w:val="24"/>
          <w:szCs w:val="24"/>
          <w:lang w:val="ru-RU" w:eastAsia="ru-RU"/>
        </w:rPr>
        <w:t>Таблетки, покрытые пленочной оболочкой</w:t>
      </w:r>
      <w:r w:rsidR="005D3028" w:rsidRPr="00C6706B">
        <w:rPr>
          <w:rFonts w:ascii="Times New Roman" w:hAnsi="Times New Roman" w:cs="Times New Roman"/>
          <w:sz w:val="24"/>
          <w:szCs w:val="24"/>
          <w:lang w:val="ru-RU"/>
        </w:rPr>
        <w:t>.</w:t>
      </w:r>
    </w:p>
    <w:p w14:paraId="537BD040" w14:textId="77777777" w:rsidR="004C1071" w:rsidRPr="00C6706B" w:rsidRDefault="004C1071" w:rsidP="004C1071">
      <w:pPr>
        <w:jc w:val="both"/>
        <w:rPr>
          <w:rFonts w:eastAsia="Times New Roman" w:cs="Times New Roman"/>
          <w:sz w:val="24"/>
          <w:szCs w:val="24"/>
          <w:lang w:val="ru-RU"/>
        </w:rPr>
      </w:pPr>
      <w:r w:rsidRPr="00C6706B">
        <w:rPr>
          <w:rFonts w:eastAsia="Times New Roman" w:cs="Times New Roman"/>
          <w:sz w:val="24"/>
          <w:szCs w:val="24"/>
          <w:lang w:val="ru-RU"/>
        </w:rPr>
        <w:t>Таблетки, покрытые пленочной оболочкой розового цвета, круглые, диаметром примерно 6.1 мм, с тиснением «Т» на одной стороне и «7I» на другой стороне (</w:t>
      </w:r>
      <w:r w:rsidRPr="00C6706B">
        <w:rPr>
          <w:rFonts w:eastAsia="Times New Roman" w:cs="Times New Roman"/>
          <w:i/>
          <w:sz w:val="24"/>
          <w:szCs w:val="24"/>
          <w:lang w:val="ru-RU"/>
        </w:rPr>
        <w:t>для дозировки 0.25 мг</w:t>
      </w:r>
      <w:r w:rsidRPr="00C6706B">
        <w:rPr>
          <w:rFonts w:eastAsia="Times New Roman" w:cs="Times New Roman"/>
          <w:sz w:val="24"/>
          <w:szCs w:val="24"/>
          <w:lang w:val="ru-RU"/>
        </w:rPr>
        <w:t>).</w:t>
      </w:r>
    </w:p>
    <w:p w14:paraId="4FF11492" w14:textId="77777777" w:rsidR="004C1071" w:rsidRPr="00C6706B" w:rsidRDefault="004C1071" w:rsidP="004C1071">
      <w:pPr>
        <w:jc w:val="both"/>
        <w:rPr>
          <w:rFonts w:eastAsia="Times New Roman" w:cs="Times New Roman"/>
          <w:sz w:val="24"/>
          <w:szCs w:val="24"/>
          <w:lang w:val="ru-RU"/>
        </w:rPr>
      </w:pPr>
      <w:r w:rsidRPr="00C6706B">
        <w:rPr>
          <w:rFonts w:eastAsia="Times New Roman" w:cs="Times New Roman"/>
          <w:sz w:val="24"/>
          <w:szCs w:val="24"/>
          <w:lang w:val="ru-RU"/>
        </w:rPr>
        <w:t>Таблетки, покрытые пленочной оболочкой от белого до почти белого цвета, круглые, диаметром примерно 6.1 мм, с тиснением «I» на одной стороне и «7I» на другой стороне (</w:t>
      </w:r>
      <w:r w:rsidRPr="00C6706B">
        <w:rPr>
          <w:rFonts w:eastAsia="Times New Roman" w:cs="Times New Roman"/>
          <w:i/>
          <w:sz w:val="24"/>
          <w:szCs w:val="24"/>
          <w:lang w:val="ru-RU"/>
        </w:rPr>
        <w:t>для дозировки 1.0 мг</w:t>
      </w:r>
      <w:r w:rsidRPr="00C6706B">
        <w:rPr>
          <w:rFonts w:eastAsia="Times New Roman" w:cs="Times New Roman"/>
          <w:sz w:val="24"/>
          <w:szCs w:val="24"/>
          <w:lang w:val="ru-RU"/>
        </w:rPr>
        <w:t>).</w:t>
      </w:r>
    </w:p>
    <w:p w14:paraId="6EAEFF66" w14:textId="77777777" w:rsidR="004C1071" w:rsidRPr="00C6706B" w:rsidRDefault="004C1071" w:rsidP="004C1071">
      <w:pPr>
        <w:jc w:val="both"/>
        <w:rPr>
          <w:rFonts w:eastAsia="Times New Roman" w:cs="Times New Roman"/>
          <w:sz w:val="24"/>
          <w:szCs w:val="24"/>
          <w:lang w:val="ru-RU"/>
        </w:rPr>
      </w:pPr>
      <w:r w:rsidRPr="00C6706B">
        <w:rPr>
          <w:rFonts w:eastAsia="Times New Roman" w:cs="Times New Roman"/>
          <w:sz w:val="24"/>
          <w:szCs w:val="24"/>
          <w:lang w:val="ru-RU"/>
        </w:rPr>
        <w:t>Таблетки, покрытые пленочной оболочкой желтого цвета, круглые, диаметром примерно 6.1 мм, с тиснением «II» на одной стороне и «7I» на другой стороне (</w:t>
      </w:r>
      <w:r w:rsidRPr="00C6706B">
        <w:rPr>
          <w:rFonts w:eastAsia="Times New Roman" w:cs="Times New Roman"/>
          <w:i/>
          <w:sz w:val="24"/>
          <w:szCs w:val="24"/>
          <w:lang w:val="ru-RU"/>
        </w:rPr>
        <w:t>для дозировки 2.0 мг</w:t>
      </w:r>
      <w:r w:rsidRPr="00C6706B">
        <w:rPr>
          <w:rFonts w:eastAsia="Times New Roman" w:cs="Times New Roman"/>
          <w:sz w:val="24"/>
          <w:szCs w:val="24"/>
          <w:lang w:val="ru-RU"/>
        </w:rPr>
        <w:t>).</w:t>
      </w:r>
    </w:p>
    <w:p w14:paraId="52C04387" w14:textId="77777777" w:rsidR="00A35FFD" w:rsidRPr="00C6706B" w:rsidRDefault="00A35FFD" w:rsidP="002B0543">
      <w:pPr>
        <w:jc w:val="both"/>
        <w:rPr>
          <w:rFonts w:cs="Times New Roman"/>
          <w:sz w:val="24"/>
          <w:szCs w:val="24"/>
          <w:lang w:val="ru-RU"/>
        </w:rPr>
      </w:pPr>
    </w:p>
    <w:p w14:paraId="4D8B7E16" w14:textId="4C9509E4" w:rsidR="00A93F9E" w:rsidRPr="00C6706B" w:rsidRDefault="00A93F9E" w:rsidP="002B0543">
      <w:pPr>
        <w:pStyle w:val="1"/>
        <w:spacing w:before="0" w:after="0"/>
        <w:jc w:val="both"/>
        <w:rPr>
          <w:rFonts w:cs="Times New Roman"/>
          <w:sz w:val="24"/>
          <w:szCs w:val="24"/>
          <w:lang w:val="ru-RU"/>
        </w:rPr>
      </w:pPr>
      <w:bookmarkStart w:id="10" w:name="_i4i1dA7RhXnNTdho0M1nCAtPh"/>
      <w:bookmarkEnd w:id="10"/>
      <w:r w:rsidRPr="00C6706B">
        <w:rPr>
          <w:rFonts w:cs="Times New Roman"/>
          <w:sz w:val="24"/>
          <w:szCs w:val="24"/>
          <w:lang w:val="ru-RU"/>
        </w:rPr>
        <w:t>4. КЛИНИЧЕСКИЕ ДАННЫЕ</w:t>
      </w:r>
    </w:p>
    <w:p w14:paraId="7B70F951" w14:textId="57E021C3" w:rsidR="00A93F9E" w:rsidRPr="00C6706B" w:rsidRDefault="00A93F9E" w:rsidP="002B0543">
      <w:pPr>
        <w:jc w:val="both"/>
        <w:rPr>
          <w:rFonts w:eastAsia="Times New Roman" w:cs="Times New Roman"/>
          <w:b/>
          <w:bCs/>
          <w:sz w:val="24"/>
          <w:szCs w:val="24"/>
          <w:lang w:val="ru-RU" w:eastAsia="ru-RU"/>
        </w:rPr>
      </w:pPr>
      <w:bookmarkStart w:id="11" w:name="_i4i5bhFOUUImtVYYbA4bsTQPg"/>
      <w:bookmarkEnd w:id="11"/>
      <w:r w:rsidRPr="00C6706B">
        <w:rPr>
          <w:rFonts w:eastAsia="Times New Roman" w:cs="Times New Roman"/>
          <w:b/>
          <w:bCs/>
          <w:sz w:val="24"/>
          <w:szCs w:val="24"/>
          <w:lang w:val="ru-RU" w:eastAsia="ru-RU"/>
        </w:rPr>
        <w:t>4.1 Показания к применению</w:t>
      </w:r>
    </w:p>
    <w:p w14:paraId="7B1B38DA" w14:textId="43183419" w:rsidR="001F0AC4" w:rsidRPr="00C6706B" w:rsidRDefault="001F0AC4" w:rsidP="002B0543">
      <w:pPr>
        <w:tabs>
          <w:tab w:val="left" w:pos="426"/>
        </w:tabs>
        <w:jc w:val="both"/>
        <w:rPr>
          <w:rFonts w:cs="Times New Roman"/>
          <w:sz w:val="24"/>
          <w:szCs w:val="24"/>
          <w:lang w:val="ru-RU"/>
        </w:rPr>
      </w:pPr>
      <w:bookmarkStart w:id="12" w:name="_i4i5dt8vz5cMmlIGsL20PaqYL"/>
      <w:bookmarkEnd w:id="12"/>
      <w:r w:rsidRPr="00C6706B">
        <w:rPr>
          <w:rFonts w:cs="Times New Roman"/>
          <w:sz w:val="24"/>
          <w:szCs w:val="24"/>
          <w:lang w:val="ru-RU"/>
        </w:rPr>
        <w:t xml:space="preserve">Препарат </w:t>
      </w:r>
      <w:r w:rsidR="00383DBC" w:rsidRPr="00C6706B">
        <w:rPr>
          <w:rFonts w:cs="Times New Roman"/>
          <w:sz w:val="24"/>
          <w:szCs w:val="24"/>
          <w:lang w:val="ru-RU"/>
        </w:rPr>
        <w:t xml:space="preserve">Сипонимод-Виста </w:t>
      </w:r>
      <w:r w:rsidRPr="00C6706B">
        <w:rPr>
          <w:rFonts w:cs="Times New Roman"/>
          <w:sz w:val="24"/>
          <w:szCs w:val="24"/>
          <w:lang w:val="ru-RU"/>
        </w:rPr>
        <w:t>показан для лечения взрослых пациентов с вторично-прогрессирующим рассеянным склерозом («ВПРС») с активной формой заболевания, проявляющейся рецидивами или визуализацией признаков воспалительной активности (см. раздел 5.1).</w:t>
      </w:r>
    </w:p>
    <w:p w14:paraId="53D02D46" w14:textId="77777777" w:rsidR="001F0AC4" w:rsidRPr="00C6706B" w:rsidRDefault="001F0AC4" w:rsidP="00383DBC">
      <w:pPr>
        <w:tabs>
          <w:tab w:val="left" w:pos="426"/>
        </w:tabs>
        <w:jc w:val="both"/>
        <w:rPr>
          <w:rFonts w:eastAsia="SimSun" w:cs="Times New Roman"/>
          <w:sz w:val="24"/>
          <w:szCs w:val="24"/>
          <w:lang w:val="ru-RU" w:eastAsia="ru-RU"/>
        </w:rPr>
      </w:pPr>
    </w:p>
    <w:p w14:paraId="52F8EA96" w14:textId="01D2EBCC" w:rsidR="00A93F9E" w:rsidRPr="00C6706B" w:rsidRDefault="00A93F9E" w:rsidP="00383DBC">
      <w:pPr>
        <w:jc w:val="both"/>
        <w:rPr>
          <w:rFonts w:eastAsia="Times New Roman" w:cs="Times New Roman"/>
          <w:b/>
          <w:sz w:val="24"/>
          <w:szCs w:val="24"/>
          <w:lang w:val="ru-RU" w:eastAsia="ru-RU"/>
        </w:rPr>
      </w:pPr>
      <w:bookmarkStart w:id="13" w:name="_i4i7eGajQuEMjtdyZPkKspwgr"/>
      <w:bookmarkStart w:id="14" w:name="_i4i0KX6A5MOmzIfKCPm6hiEQI"/>
      <w:bookmarkStart w:id="15" w:name="_i4i2JM1lC9ZP3bOJzOdKOZJLI"/>
      <w:bookmarkEnd w:id="13"/>
      <w:bookmarkEnd w:id="14"/>
      <w:bookmarkEnd w:id="15"/>
      <w:r w:rsidRPr="00C6706B">
        <w:rPr>
          <w:rFonts w:eastAsia="Times New Roman" w:cs="Times New Roman"/>
          <w:b/>
          <w:sz w:val="24"/>
          <w:szCs w:val="24"/>
          <w:lang w:val="ru-RU" w:eastAsia="ru-RU"/>
        </w:rPr>
        <w:lastRenderedPageBreak/>
        <w:t>4.2 Режим дозирования и способ применения</w:t>
      </w:r>
    </w:p>
    <w:p w14:paraId="324C5CDA" w14:textId="4AF0F421" w:rsidR="00A93F9E" w:rsidRPr="00C6706B" w:rsidRDefault="00A93F9E" w:rsidP="00383DBC">
      <w:pPr>
        <w:jc w:val="both"/>
        <w:rPr>
          <w:rFonts w:eastAsia="Times New Roman" w:cs="Times New Roman"/>
          <w:b/>
          <w:sz w:val="24"/>
          <w:szCs w:val="24"/>
          <w:lang w:val="ru-RU" w:eastAsia="ru-RU"/>
        </w:rPr>
      </w:pPr>
      <w:bookmarkStart w:id="16" w:name="_i4i6GsDguGJui1fA1IgLttLl4"/>
      <w:bookmarkEnd w:id="16"/>
      <w:r w:rsidRPr="00C6706B">
        <w:rPr>
          <w:rFonts w:eastAsia="Times New Roman" w:cs="Times New Roman"/>
          <w:b/>
          <w:sz w:val="24"/>
          <w:szCs w:val="24"/>
          <w:lang w:val="ru-RU" w:eastAsia="ru-RU"/>
        </w:rPr>
        <w:t>Режим дозирования</w:t>
      </w:r>
    </w:p>
    <w:p w14:paraId="32683B5D" w14:textId="0AF20E18" w:rsidR="001F0AC4" w:rsidRPr="00C6706B" w:rsidRDefault="001F0AC4" w:rsidP="00383DBC">
      <w:pPr>
        <w:pStyle w:val="aff4"/>
        <w:jc w:val="both"/>
        <w:rPr>
          <w:rFonts w:ascii="Times New Roman" w:eastAsia="Times New Roman" w:hAnsi="Times New Roman" w:cs="Times New Roman"/>
          <w:color w:val="000000"/>
          <w:sz w:val="24"/>
          <w:szCs w:val="24"/>
          <w:lang w:val="ru-RU" w:eastAsia="uk-UA"/>
        </w:rPr>
      </w:pPr>
      <w:r w:rsidRPr="00C6706B">
        <w:rPr>
          <w:rFonts w:ascii="Times New Roman" w:eastAsia="Times New Roman" w:hAnsi="Times New Roman" w:cs="Times New Roman"/>
          <w:color w:val="000000"/>
          <w:sz w:val="24"/>
          <w:szCs w:val="24"/>
          <w:lang w:val="ru-RU" w:eastAsia="uk-UA"/>
        </w:rPr>
        <w:t>Лечение сипонимодом должно начинаться и контролироваться врачом, имеющим опыт лечения рассеянного склероза.</w:t>
      </w:r>
    </w:p>
    <w:p w14:paraId="2EF712BF" w14:textId="34028A7A" w:rsidR="001F0AC4" w:rsidRPr="00C6706B" w:rsidRDefault="001F0AC4" w:rsidP="00383DBC">
      <w:pPr>
        <w:pStyle w:val="aff4"/>
        <w:jc w:val="both"/>
        <w:rPr>
          <w:rFonts w:ascii="Times New Roman" w:eastAsia="Times New Roman" w:hAnsi="Times New Roman" w:cs="Times New Roman"/>
          <w:color w:val="000000"/>
          <w:sz w:val="24"/>
          <w:szCs w:val="24"/>
          <w:lang w:val="ru-RU" w:eastAsia="uk-UA"/>
        </w:rPr>
      </w:pPr>
      <w:r w:rsidRPr="00C6706B">
        <w:rPr>
          <w:rFonts w:ascii="Times New Roman" w:eastAsia="Times New Roman" w:hAnsi="Times New Roman" w:cs="Times New Roman"/>
          <w:color w:val="000000"/>
          <w:sz w:val="24"/>
          <w:szCs w:val="24"/>
          <w:lang w:val="ru-RU" w:eastAsia="uk-UA"/>
        </w:rPr>
        <w:t>Перед началом лечения пациенты должны пройти генотипирование на геном CYP2C9 для определения статуса метаболизатора CYP2C9 (см. разделы 4.4, 4.5 и 5.2).</w:t>
      </w:r>
      <w:r w:rsidR="003F426C" w:rsidRPr="00C6706B">
        <w:rPr>
          <w:rFonts w:ascii="Times New Roman" w:eastAsia="Times New Roman" w:hAnsi="Times New Roman" w:cs="Times New Roman"/>
          <w:color w:val="000000"/>
          <w:sz w:val="24"/>
          <w:szCs w:val="24"/>
          <w:lang w:val="ru-RU" w:eastAsia="uk-UA"/>
        </w:rPr>
        <w:t xml:space="preserve"> </w:t>
      </w:r>
      <w:r w:rsidRPr="00C6706B">
        <w:rPr>
          <w:rFonts w:ascii="Times New Roman" w:eastAsia="Times New Roman" w:hAnsi="Times New Roman" w:cs="Times New Roman"/>
          <w:color w:val="000000"/>
          <w:sz w:val="24"/>
          <w:szCs w:val="24"/>
          <w:lang w:val="ru-RU" w:eastAsia="uk-UA"/>
        </w:rPr>
        <w:t>У</w:t>
      </w:r>
      <w:r w:rsidR="003F426C" w:rsidRPr="00C6706B">
        <w:rPr>
          <w:rFonts w:ascii="Times New Roman" w:eastAsia="Times New Roman" w:hAnsi="Times New Roman" w:cs="Times New Roman"/>
          <w:color w:val="000000"/>
          <w:sz w:val="24"/>
          <w:szCs w:val="24"/>
          <w:lang w:val="ru-RU" w:eastAsia="uk-UA"/>
        </w:rPr>
        <w:t> </w:t>
      </w:r>
      <w:r w:rsidRPr="00C6706B">
        <w:rPr>
          <w:rFonts w:ascii="Times New Roman" w:eastAsia="Times New Roman" w:hAnsi="Times New Roman" w:cs="Times New Roman"/>
          <w:color w:val="000000"/>
          <w:sz w:val="24"/>
          <w:szCs w:val="24"/>
          <w:lang w:val="ru-RU" w:eastAsia="uk-UA"/>
        </w:rPr>
        <w:t>пациентов с генотипом CYP2C9*3*3 сипонимод не следует применять (см. разделы 4.3, 4.4 и 5.2).</w:t>
      </w:r>
    </w:p>
    <w:p w14:paraId="08222434" w14:textId="77777777" w:rsidR="001F0AC4" w:rsidRPr="00C6706B" w:rsidRDefault="001F0AC4" w:rsidP="00383DBC">
      <w:pPr>
        <w:jc w:val="both"/>
        <w:rPr>
          <w:rFonts w:cs="Times New Roman"/>
          <w:i/>
          <w:iCs/>
          <w:sz w:val="24"/>
          <w:szCs w:val="24"/>
          <w:u w:val="single"/>
          <w:lang w:val="ru-RU"/>
        </w:rPr>
      </w:pPr>
      <w:r w:rsidRPr="00C6706B">
        <w:rPr>
          <w:rFonts w:cs="Times New Roman"/>
          <w:i/>
          <w:iCs/>
          <w:sz w:val="24"/>
          <w:szCs w:val="24"/>
          <w:u w:val="single"/>
          <w:lang w:val="ru-RU"/>
        </w:rPr>
        <w:t>Начало лечения</w:t>
      </w:r>
    </w:p>
    <w:p w14:paraId="725A9285" w14:textId="60873805" w:rsidR="001F0AC4" w:rsidRPr="00C6706B" w:rsidRDefault="001F0AC4" w:rsidP="00383DBC">
      <w:pPr>
        <w:jc w:val="both"/>
        <w:rPr>
          <w:rFonts w:cs="Times New Roman"/>
          <w:sz w:val="24"/>
          <w:szCs w:val="24"/>
          <w:lang w:val="ru-RU"/>
        </w:rPr>
      </w:pPr>
      <w:r w:rsidRPr="00C6706B">
        <w:rPr>
          <w:rFonts w:cs="Times New Roman"/>
          <w:sz w:val="24"/>
          <w:szCs w:val="24"/>
          <w:lang w:val="ru-RU"/>
        </w:rPr>
        <w:t>Лечение необходимо начинать с титрования, которое продолжается в течение 5 дней. Лечение начинается с 0,25 мг один раз в день в 1-й и 2-й дни, затем однократные ежедневные дозы 0,5 мг в 3-й день, 0,75 мг в 4-й день и 1,25 мг в 5-й день, чтобы достичь назначенной пациенту поддерживающей дозы сипонимода с 6-го дня (см. табл. 1).</w:t>
      </w:r>
    </w:p>
    <w:p w14:paraId="6E465894" w14:textId="3E7CFF85" w:rsidR="001F0AC4" w:rsidRPr="00C6706B" w:rsidRDefault="001F0AC4" w:rsidP="00383DBC">
      <w:pPr>
        <w:jc w:val="both"/>
        <w:rPr>
          <w:rFonts w:cs="Times New Roman"/>
          <w:sz w:val="24"/>
          <w:szCs w:val="24"/>
          <w:lang w:val="ru-RU"/>
        </w:rPr>
      </w:pPr>
      <w:r w:rsidRPr="00C6706B">
        <w:rPr>
          <w:rFonts w:cs="Times New Roman"/>
          <w:sz w:val="24"/>
          <w:szCs w:val="24"/>
          <w:lang w:val="ru-RU"/>
        </w:rPr>
        <w:t>В течение первых 6 дней от начала лечения рекомендуемую суточную дозу следует принимать один раз в день утром с пищей или без нее.</w:t>
      </w:r>
    </w:p>
    <w:p w14:paraId="1BC1169C" w14:textId="77777777" w:rsidR="001F0AC4" w:rsidRPr="00C6706B" w:rsidRDefault="001F0AC4" w:rsidP="00383DBC">
      <w:pPr>
        <w:jc w:val="both"/>
        <w:rPr>
          <w:rFonts w:cs="Times New Roman"/>
          <w:b/>
          <w:bCs/>
          <w:sz w:val="24"/>
          <w:szCs w:val="24"/>
          <w:lang w:val="ru-RU"/>
        </w:rPr>
      </w:pPr>
      <w:r w:rsidRPr="00C6706B">
        <w:rPr>
          <w:rFonts w:cs="Times New Roman"/>
          <w:b/>
          <w:bCs/>
          <w:sz w:val="24"/>
          <w:szCs w:val="24"/>
          <w:lang w:val="ru-RU"/>
        </w:rPr>
        <w:t>Таблица 1 Схема титрования дозировки для достижения поддерживающей дозы</w:t>
      </w:r>
    </w:p>
    <w:tbl>
      <w:tblPr>
        <w:tblStyle w:val="210"/>
        <w:tblW w:w="5000" w:type="pct"/>
        <w:jc w:val="center"/>
        <w:tblLayout w:type="fixed"/>
        <w:tblLook w:val="0000" w:firstRow="0" w:lastRow="0" w:firstColumn="0" w:lastColumn="0" w:noHBand="0" w:noVBand="0"/>
      </w:tblPr>
      <w:tblGrid>
        <w:gridCol w:w="1410"/>
        <w:gridCol w:w="2118"/>
        <w:gridCol w:w="2446"/>
        <w:gridCol w:w="3314"/>
      </w:tblGrid>
      <w:tr w:rsidR="001F0AC4" w:rsidRPr="00C6706B" w14:paraId="40FC5684" w14:textId="77777777" w:rsidTr="003F426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410" w:type="dxa"/>
            <w:vAlign w:val="center"/>
          </w:tcPr>
          <w:p w14:paraId="598D276D" w14:textId="5C6353C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8"/>
                <w:rFonts w:ascii="Times New Roman" w:hAnsi="Times New Roman" w:cs="Times New Roman"/>
                <w:color w:val="000000"/>
                <w:sz w:val="24"/>
                <w:szCs w:val="24"/>
                <w:lang w:val="ru-RU"/>
              </w:rPr>
              <w:t>Титрование</w:t>
            </w:r>
          </w:p>
        </w:tc>
        <w:tc>
          <w:tcPr>
            <w:cnfStyle w:val="000001000000" w:firstRow="0" w:lastRow="0" w:firstColumn="0" w:lastColumn="0" w:oddVBand="0" w:evenVBand="1" w:oddHBand="0" w:evenHBand="0" w:firstRowFirstColumn="0" w:firstRowLastColumn="0" w:lastRowFirstColumn="0" w:lastRowLastColumn="0"/>
            <w:tcW w:w="2118" w:type="dxa"/>
            <w:vAlign w:val="center"/>
          </w:tcPr>
          <w:p w14:paraId="172E68C0"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8"/>
                <w:rFonts w:ascii="Times New Roman" w:hAnsi="Times New Roman" w:cs="Times New Roman"/>
                <w:color w:val="000000"/>
                <w:sz w:val="24"/>
                <w:szCs w:val="24"/>
                <w:lang w:val="ru-RU"/>
              </w:rPr>
              <w:t>Дозировка титрования</w:t>
            </w:r>
          </w:p>
        </w:tc>
        <w:tc>
          <w:tcPr>
            <w:cnfStyle w:val="000010000000" w:firstRow="0" w:lastRow="0" w:firstColumn="0" w:lastColumn="0" w:oddVBand="1" w:evenVBand="0" w:oddHBand="0" w:evenHBand="0" w:firstRowFirstColumn="0" w:firstRowLastColumn="0" w:lastRowFirstColumn="0" w:lastRowLastColumn="0"/>
            <w:tcW w:w="2446" w:type="dxa"/>
            <w:vAlign w:val="center"/>
          </w:tcPr>
          <w:p w14:paraId="6A7553A8" w14:textId="6991D78D"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8"/>
                <w:rFonts w:ascii="Times New Roman" w:hAnsi="Times New Roman" w:cs="Times New Roman"/>
                <w:color w:val="000000"/>
                <w:sz w:val="24"/>
                <w:szCs w:val="24"/>
                <w:lang w:val="ru-RU"/>
              </w:rPr>
              <w:t>Режим титрования</w:t>
            </w:r>
          </w:p>
        </w:tc>
        <w:tc>
          <w:tcPr>
            <w:cnfStyle w:val="000001000000" w:firstRow="0" w:lastRow="0" w:firstColumn="0" w:lastColumn="0" w:oddVBand="0" w:evenVBand="1" w:oddHBand="0" w:evenHBand="0" w:firstRowFirstColumn="0" w:firstRowLastColumn="0" w:lastRowFirstColumn="0" w:lastRowLastColumn="0"/>
            <w:tcW w:w="3314" w:type="dxa"/>
            <w:vAlign w:val="center"/>
          </w:tcPr>
          <w:p w14:paraId="32173FEE" w14:textId="1B072965"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8"/>
                <w:rFonts w:ascii="Times New Roman" w:hAnsi="Times New Roman" w:cs="Times New Roman"/>
                <w:color w:val="000000"/>
                <w:sz w:val="24"/>
                <w:szCs w:val="24"/>
                <w:lang w:val="ru-RU"/>
              </w:rPr>
              <w:t>Доза</w:t>
            </w:r>
          </w:p>
        </w:tc>
      </w:tr>
      <w:tr w:rsidR="001F0AC4" w:rsidRPr="00C6706B" w14:paraId="4CBF983F" w14:textId="77777777" w:rsidTr="003F426C">
        <w:trPr>
          <w:jc w:val="center"/>
        </w:trPr>
        <w:tc>
          <w:tcPr>
            <w:cnfStyle w:val="000010000000" w:firstRow="0" w:lastRow="0" w:firstColumn="0" w:lastColumn="0" w:oddVBand="1" w:evenVBand="0" w:oddHBand="0" w:evenHBand="0" w:firstRowFirstColumn="0" w:firstRowLastColumn="0" w:lastRowFirstColumn="0" w:lastRowLastColumn="0"/>
            <w:tcW w:w="1410" w:type="dxa"/>
            <w:vAlign w:val="center"/>
          </w:tcPr>
          <w:p w14:paraId="2B8FE39D"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30"/>
                <w:rFonts w:ascii="Times New Roman" w:hAnsi="Times New Roman" w:cs="Times New Roman"/>
                <w:color w:val="000000"/>
                <w:sz w:val="24"/>
                <w:szCs w:val="24"/>
                <w:lang w:val="ru-RU"/>
              </w:rPr>
              <w:t>День 1</w:t>
            </w:r>
          </w:p>
        </w:tc>
        <w:tc>
          <w:tcPr>
            <w:cnfStyle w:val="000001000000" w:firstRow="0" w:lastRow="0" w:firstColumn="0" w:lastColumn="0" w:oddVBand="0" w:evenVBand="1" w:oddHBand="0" w:evenHBand="0" w:firstRowFirstColumn="0" w:firstRowLastColumn="0" w:lastRowFirstColumn="0" w:lastRowLastColumn="0"/>
            <w:tcW w:w="2118" w:type="dxa"/>
            <w:vAlign w:val="center"/>
          </w:tcPr>
          <w:p w14:paraId="4A1BD9D2"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30"/>
                <w:rFonts w:ascii="Times New Roman" w:hAnsi="Times New Roman" w:cs="Times New Roman"/>
                <w:color w:val="000000"/>
                <w:sz w:val="24"/>
                <w:szCs w:val="24"/>
                <w:lang w:val="ru-RU"/>
              </w:rPr>
              <w:t>0.25 мг</w:t>
            </w:r>
          </w:p>
        </w:tc>
        <w:tc>
          <w:tcPr>
            <w:cnfStyle w:val="000010000000" w:firstRow="0" w:lastRow="0" w:firstColumn="0" w:lastColumn="0" w:oddVBand="1" w:evenVBand="0" w:oddHBand="0" w:evenHBand="0" w:firstRowFirstColumn="0" w:firstRowLastColumn="0" w:lastRowFirstColumn="0" w:lastRowLastColumn="0"/>
            <w:tcW w:w="2446" w:type="dxa"/>
            <w:vAlign w:val="center"/>
          </w:tcPr>
          <w:p w14:paraId="29803AB0"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30"/>
                <w:rFonts w:ascii="Times New Roman" w:hAnsi="Times New Roman" w:cs="Times New Roman"/>
                <w:color w:val="000000"/>
                <w:sz w:val="24"/>
                <w:szCs w:val="24"/>
                <w:lang w:val="ru-RU"/>
              </w:rPr>
              <w:t>1 x 0.25 мг</w:t>
            </w:r>
          </w:p>
        </w:tc>
        <w:tc>
          <w:tcPr>
            <w:cnfStyle w:val="000001000000" w:firstRow="0" w:lastRow="0" w:firstColumn="0" w:lastColumn="0" w:oddVBand="0" w:evenVBand="1" w:oddHBand="0" w:evenHBand="0" w:firstRowFirstColumn="0" w:firstRowLastColumn="0" w:lastRowFirstColumn="0" w:lastRowLastColumn="0"/>
            <w:tcW w:w="3314" w:type="dxa"/>
            <w:vAlign w:val="center"/>
          </w:tcPr>
          <w:p w14:paraId="37582CE8" w14:textId="77777777" w:rsidR="001F0AC4" w:rsidRPr="00C6706B" w:rsidRDefault="001F0AC4" w:rsidP="003F426C">
            <w:pPr>
              <w:jc w:val="center"/>
              <w:rPr>
                <w:rFonts w:cs="Times New Roman"/>
                <w:sz w:val="24"/>
                <w:szCs w:val="24"/>
                <w:lang w:val="ru-RU" w:eastAsia="ja-JP"/>
              </w:rPr>
            </w:pPr>
          </w:p>
        </w:tc>
      </w:tr>
      <w:tr w:rsidR="001F0AC4" w:rsidRPr="00C6706B" w14:paraId="2E01DF0B" w14:textId="77777777" w:rsidTr="003F426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410" w:type="dxa"/>
            <w:vAlign w:val="center"/>
          </w:tcPr>
          <w:p w14:paraId="6D408C2A"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30"/>
                <w:rFonts w:ascii="Times New Roman" w:hAnsi="Times New Roman" w:cs="Times New Roman"/>
                <w:color w:val="000000"/>
                <w:sz w:val="24"/>
                <w:szCs w:val="24"/>
                <w:lang w:val="ru-RU"/>
              </w:rPr>
              <w:t>День 2</w:t>
            </w:r>
          </w:p>
        </w:tc>
        <w:tc>
          <w:tcPr>
            <w:cnfStyle w:val="000001000000" w:firstRow="0" w:lastRow="0" w:firstColumn="0" w:lastColumn="0" w:oddVBand="0" w:evenVBand="1" w:oddHBand="0" w:evenHBand="0" w:firstRowFirstColumn="0" w:firstRowLastColumn="0" w:lastRowFirstColumn="0" w:lastRowLastColumn="0"/>
            <w:tcW w:w="2118" w:type="dxa"/>
            <w:vAlign w:val="center"/>
          </w:tcPr>
          <w:p w14:paraId="604E1AF2"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30"/>
                <w:rFonts w:ascii="Times New Roman" w:hAnsi="Times New Roman" w:cs="Times New Roman"/>
                <w:color w:val="000000"/>
                <w:sz w:val="24"/>
                <w:szCs w:val="24"/>
                <w:lang w:val="ru-RU"/>
              </w:rPr>
              <w:t>0.25 мг</w:t>
            </w:r>
          </w:p>
        </w:tc>
        <w:tc>
          <w:tcPr>
            <w:cnfStyle w:val="000010000000" w:firstRow="0" w:lastRow="0" w:firstColumn="0" w:lastColumn="0" w:oddVBand="1" w:evenVBand="0" w:oddHBand="0" w:evenHBand="0" w:firstRowFirstColumn="0" w:firstRowLastColumn="0" w:lastRowFirstColumn="0" w:lastRowLastColumn="0"/>
            <w:tcW w:w="2446" w:type="dxa"/>
            <w:vAlign w:val="center"/>
          </w:tcPr>
          <w:p w14:paraId="2F6CA123"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30"/>
                <w:rFonts w:ascii="Times New Roman" w:hAnsi="Times New Roman" w:cs="Times New Roman"/>
                <w:color w:val="000000"/>
                <w:sz w:val="24"/>
                <w:szCs w:val="24"/>
                <w:lang w:val="ru-RU"/>
              </w:rPr>
              <w:t>1 x 0.25 мг</w:t>
            </w:r>
          </w:p>
        </w:tc>
        <w:tc>
          <w:tcPr>
            <w:cnfStyle w:val="000001000000" w:firstRow="0" w:lastRow="0" w:firstColumn="0" w:lastColumn="0" w:oddVBand="0" w:evenVBand="1" w:oddHBand="0" w:evenHBand="0" w:firstRowFirstColumn="0" w:firstRowLastColumn="0" w:lastRowFirstColumn="0" w:lastRowLastColumn="0"/>
            <w:tcW w:w="3314" w:type="dxa"/>
            <w:vAlign w:val="center"/>
          </w:tcPr>
          <w:p w14:paraId="756E92C7" w14:textId="77777777" w:rsidR="001F0AC4" w:rsidRPr="00C6706B" w:rsidRDefault="001F0AC4" w:rsidP="003F426C">
            <w:pPr>
              <w:jc w:val="center"/>
              <w:rPr>
                <w:rFonts w:cs="Times New Roman"/>
                <w:sz w:val="24"/>
                <w:szCs w:val="24"/>
                <w:lang w:val="ru-RU" w:eastAsia="ja-JP"/>
              </w:rPr>
            </w:pPr>
          </w:p>
        </w:tc>
      </w:tr>
      <w:tr w:rsidR="001F0AC4" w:rsidRPr="00C6706B" w14:paraId="148CF4A4" w14:textId="77777777" w:rsidTr="003F426C">
        <w:trPr>
          <w:jc w:val="center"/>
        </w:trPr>
        <w:tc>
          <w:tcPr>
            <w:cnfStyle w:val="000010000000" w:firstRow="0" w:lastRow="0" w:firstColumn="0" w:lastColumn="0" w:oddVBand="1" w:evenVBand="0" w:oddHBand="0" w:evenHBand="0" w:firstRowFirstColumn="0" w:firstRowLastColumn="0" w:lastRowFirstColumn="0" w:lastRowLastColumn="0"/>
            <w:tcW w:w="1410" w:type="dxa"/>
            <w:vAlign w:val="center"/>
          </w:tcPr>
          <w:p w14:paraId="18D6817D"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30"/>
                <w:rFonts w:ascii="Times New Roman" w:hAnsi="Times New Roman" w:cs="Times New Roman"/>
                <w:color w:val="000000"/>
                <w:sz w:val="24"/>
                <w:szCs w:val="24"/>
                <w:lang w:val="ru-RU"/>
              </w:rPr>
              <w:t>День 3</w:t>
            </w:r>
          </w:p>
        </w:tc>
        <w:tc>
          <w:tcPr>
            <w:cnfStyle w:val="000001000000" w:firstRow="0" w:lastRow="0" w:firstColumn="0" w:lastColumn="0" w:oddVBand="0" w:evenVBand="1" w:oddHBand="0" w:evenHBand="0" w:firstRowFirstColumn="0" w:firstRowLastColumn="0" w:lastRowFirstColumn="0" w:lastRowLastColumn="0"/>
            <w:tcW w:w="2118" w:type="dxa"/>
            <w:vAlign w:val="center"/>
          </w:tcPr>
          <w:p w14:paraId="78325FBD"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30"/>
                <w:rFonts w:ascii="Times New Roman" w:hAnsi="Times New Roman" w:cs="Times New Roman"/>
                <w:color w:val="000000"/>
                <w:sz w:val="24"/>
                <w:szCs w:val="24"/>
                <w:lang w:val="ru-RU"/>
              </w:rPr>
              <w:t>0.5 мг</w:t>
            </w:r>
          </w:p>
        </w:tc>
        <w:tc>
          <w:tcPr>
            <w:cnfStyle w:val="000010000000" w:firstRow="0" w:lastRow="0" w:firstColumn="0" w:lastColumn="0" w:oddVBand="1" w:evenVBand="0" w:oddHBand="0" w:evenHBand="0" w:firstRowFirstColumn="0" w:firstRowLastColumn="0" w:lastRowFirstColumn="0" w:lastRowLastColumn="0"/>
            <w:tcW w:w="2446" w:type="dxa"/>
            <w:vAlign w:val="center"/>
          </w:tcPr>
          <w:p w14:paraId="3F8FD2DE"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30"/>
                <w:rFonts w:ascii="Times New Roman" w:hAnsi="Times New Roman" w:cs="Times New Roman"/>
                <w:color w:val="000000"/>
                <w:sz w:val="24"/>
                <w:szCs w:val="24"/>
                <w:lang w:val="ru-RU"/>
              </w:rPr>
              <w:t>2 x 0.25 мг</w:t>
            </w:r>
          </w:p>
        </w:tc>
        <w:tc>
          <w:tcPr>
            <w:cnfStyle w:val="000001000000" w:firstRow="0" w:lastRow="0" w:firstColumn="0" w:lastColumn="0" w:oddVBand="0" w:evenVBand="1" w:oddHBand="0" w:evenHBand="0" w:firstRowFirstColumn="0" w:firstRowLastColumn="0" w:lastRowFirstColumn="0" w:lastRowLastColumn="0"/>
            <w:tcW w:w="3314" w:type="dxa"/>
            <w:vAlign w:val="center"/>
          </w:tcPr>
          <w:p w14:paraId="0B995635"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8"/>
                <w:rFonts w:ascii="Times New Roman" w:hAnsi="Times New Roman" w:cs="Times New Roman"/>
                <w:color w:val="000000"/>
                <w:sz w:val="24"/>
                <w:szCs w:val="24"/>
                <w:lang w:val="ru-RU"/>
              </w:rPr>
              <w:t>ТИТРОВАНИЕ</w:t>
            </w:r>
          </w:p>
        </w:tc>
      </w:tr>
      <w:tr w:rsidR="001F0AC4" w:rsidRPr="00C6706B" w14:paraId="07DDA6C5" w14:textId="77777777" w:rsidTr="003F426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410" w:type="dxa"/>
            <w:vAlign w:val="center"/>
          </w:tcPr>
          <w:p w14:paraId="7E91F2B1"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30"/>
                <w:rFonts w:ascii="Times New Roman" w:hAnsi="Times New Roman" w:cs="Times New Roman"/>
                <w:color w:val="000000"/>
                <w:sz w:val="24"/>
                <w:szCs w:val="24"/>
                <w:lang w:val="ru-RU"/>
              </w:rPr>
              <w:t>День 4</w:t>
            </w:r>
          </w:p>
        </w:tc>
        <w:tc>
          <w:tcPr>
            <w:cnfStyle w:val="000001000000" w:firstRow="0" w:lastRow="0" w:firstColumn="0" w:lastColumn="0" w:oddVBand="0" w:evenVBand="1" w:oddHBand="0" w:evenHBand="0" w:firstRowFirstColumn="0" w:firstRowLastColumn="0" w:lastRowFirstColumn="0" w:lastRowLastColumn="0"/>
            <w:tcW w:w="2118" w:type="dxa"/>
            <w:vAlign w:val="center"/>
          </w:tcPr>
          <w:p w14:paraId="40187C91"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30"/>
                <w:rFonts w:ascii="Times New Roman" w:hAnsi="Times New Roman" w:cs="Times New Roman"/>
                <w:color w:val="000000"/>
                <w:sz w:val="24"/>
                <w:szCs w:val="24"/>
                <w:lang w:val="ru-RU"/>
              </w:rPr>
              <w:t>0.75 мг</w:t>
            </w:r>
          </w:p>
        </w:tc>
        <w:tc>
          <w:tcPr>
            <w:cnfStyle w:val="000010000000" w:firstRow="0" w:lastRow="0" w:firstColumn="0" w:lastColumn="0" w:oddVBand="1" w:evenVBand="0" w:oddHBand="0" w:evenHBand="0" w:firstRowFirstColumn="0" w:firstRowLastColumn="0" w:lastRowFirstColumn="0" w:lastRowLastColumn="0"/>
            <w:tcW w:w="2446" w:type="dxa"/>
            <w:vAlign w:val="center"/>
          </w:tcPr>
          <w:p w14:paraId="066FA1B8"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30"/>
                <w:rFonts w:ascii="Times New Roman" w:hAnsi="Times New Roman" w:cs="Times New Roman"/>
                <w:color w:val="000000"/>
                <w:sz w:val="24"/>
                <w:szCs w:val="24"/>
                <w:lang w:val="ru-RU"/>
              </w:rPr>
              <w:t>3 x 0.25 мг</w:t>
            </w:r>
          </w:p>
        </w:tc>
        <w:tc>
          <w:tcPr>
            <w:cnfStyle w:val="000001000000" w:firstRow="0" w:lastRow="0" w:firstColumn="0" w:lastColumn="0" w:oddVBand="0" w:evenVBand="1" w:oddHBand="0" w:evenHBand="0" w:firstRowFirstColumn="0" w:firstRowLastColumn="0" w:lastRowFirstColumn="0" w:lastRowLastColumn="0"/>
            <w:tcW w:w="3314" w:type="dxa"/>
            <w:vAlign w:val="center"/>
          </w:tcPr>
          <w:p w14:paraId="039BB78F" w14:textId="77777777" w:rsidR="001F0AC4" w:rsidRPr="00C6706B" w:rsidRDefault="001F0AC4" w:rsidP="003F426C">
            <w:pPr>
              <w:jc w:val="center"/>
              <w:rPr>
                <w:rFonts w:cs="Times New Roman"/>
                <w:sz w:val="24"/>
                <w:szCs w:val="24"/>
                <w:lang w:val="ru-RU" w:eastAsia="ja-JP"/>
              </w:rPr>
            </w:pPr>
          </w:p>
        </w:tc>
      </w:tr>
      <w:tr w:rsidR="001F0AC4" w:rsidRPr="00C6706B" w14:paraId="6A9BE314" w14:textId="77777777" w:rsidTr="003F426C">
        <w:trPr>
          <w:jc w:val="center"/>
        </w:trPr>
        <w:tc>
          <w:tcPr>
            <w:cnfStyle w:val="000010000000" w:firstRow="0" w:lastRow="0" w:firstColumn="0" w:lastColumn="0" w:oddVBand="1" w:evenVBand="0" w:oddHBand="0" w:evenHBand="0" w:firstRowFirstColumn="0" w:firstRowLastColumn="0" w:lastRowFirstColumn="0" w:lastRowLastColumn="0"/>
            <w:tcW w:w="1410" w:type="dxa"/>
            <w:vAlign w:val="center"/>
          </w:tcPr>
          <w:p w14:paraId="5D53816C"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30"/>
                <w:rFonts w:ascii="Times New Roman" w:hAnsi="Times New Roman" w:cs="Times New Roman"/>
                <w:color w:val="000000"/>
                <w:sz w:val="24"/>
                <w:szCs w:val="24"/>
                <w:lang w:val="ru-RU"/>
              </w:rPr>
              <w:t>День 5</w:t>
            </w:r>
          </w:p>
        </w:tc>
        <w:tc>
          <w:tcPr>
            <w:cnfStyle w:val="000001000000" w:firstRow="0" w:lastRow="0" w:firstColumn="0" w:lastColumn="0" w:oddVBand="0" w:evenVBand="1" w:oddHBand="0" w:evenHBand="0" w:firstRowFirstColumn="0" w:firstRowLastColumn="0" w:lastRowFirstColumn="0" w:lastRowLastColumn="0"/>
            <w:tcW w:w="2118" w:type="dxa"/>
            <w:vAlign w:val="center"/>
          </w:tcPr>
          <w:p w14:paraId="6798EC5E"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30"/>
                <w:rFonts w:ascii="Times New Roman" w:hAnsi="Times New Roman" w:cs="Times New Roman"/>
                <w:color w:val="000000"/>
                <w:sz w:val="24"/>
                <w:szCs w:val="24"/>
                <w:lang w:val="ru-RU"/>
              </w:rPr>
              <w:t>1.25 мг</w:t>
            </w:r>
          </w:p>
        </w:tc>
        <w:tc>
          <w:tcPr>
            <w:cnfStyle w:val="000010000000" w:firstRow="0" w:lastRow="0" w:firstColumn="0" w:lastColumn="0" w:oddVBand="1" w:evenVBand="0" w:oddHBand="0" w:evenHBand="0" w:firstRowFirstColumn="0" w:firstRowLastColumn="0" w:lastRowFirstColumn="0" w:lastRowLastColumn="0"/>
            <w:tcW w:w="2446" w:type="dxa"/>
            <w:vAlign w:val="center"/>
          </w:tcPr>
          <w:p w14:paraId="70B0ADB5"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30"/>
                <w:rFonts w:ascii="Times New Roman" w:hAnsi="Times New Roman" w:cs="Times New Roman"/>
                <w:color w:val="000000"/>
                <w:sz w:val="24"/>
                <w:szCs w:val="24"/>
                <w:lang w:val="ru-RU"/>
              </w:rPr>
              <w:t>5 x 0.25 мг</w:t>
            </w:r>
          </w:p>
        </w:tc>
        <w:tc>
          <w:tcPr>
            <w:cnfStyle w:val="000001000000" w:firstRow="0" w:lastRow="0" w:firstColumn="0" w:lastColumn="0" w:oddVBand="0" w:evenVBand="1" w:oddHBand="0" w:evenHBand="0" w:firstRowFirstColumn="0" w:firstRowLastColumn="0" w:lastRowFirstColumn="0" w:lastRowLastColumn="0"/>
            <w:tcW w:w="3314" w:type="dxa"/>
            <w:vAlign w:val="center"/>
          </w:tcPr>
          <w:p w14:paraId="4504F79C" w14:textId="77777777" w:rsidR="001F0AC4" w:rsidRPr="00C6706B" w:rsidRDefault="001F0AC4" w:rsidP="003F426C">
            <w:pPr>
              <w:jc w:val="center"/>
              <w:rPr>
                <w:rFonts w:cs="Times New Roman"/>
                <w:sz w:val="24"/>
                <w:szCs w:val="24"/>
                <w:lang w:val="ru-RU" w:eastAsia="ja-JP"/>
              </w:rPr>
            </w:pPr>
          </w:p>
        </w:tc>
      </w:tr>
      <w:tr w:rsidR="001F0AC4" w:rsidRPr="00C6706B" w14:paraId="16197210" w14:textId="77777777" w:rsidTr="003F426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410" w:type="dxa"/>
            <w:vAlign w:val="center"/>
          </w:tcPr>
          <w:p w14:paraId="79635413"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30"/>
                <w:rFonts w:ascii="Times New Roman" w:hAnsi="Times New Roman" w:cs="Times New Roman"/>
                <w:color w:val="000000"/>
                <w:sz w:val="24"/>
                <w:szCs w:val="24"/>
                <w:lang w:val="ru-RU"/>
              </w:rPr>
              <w:t>День 6</w:t>
            </w:r>
          </w:p>
        </w:tc>
        <w:tc>
          <w:tcPr>
            <w:cnfStyle w:val="000001000000" w:firstRow="0" w:lastRow="0" w:firstColumn="0" w:lastColumn="0" w:oddVBand="0" w:evenVBand="1" w:oddHBand="0" w:evenHBand="0" w:firstRowFirstColumn="0" w:firstRowLastColumn="0" w:lastRowFirstColumn="0" w:lastRowLastColumn="0"/>
            <w:tcW w:w="2118" w:type="dxa"/>
            <w:vAlign w:val="center"/>
          </w:tcPr>
          <w:p w14:paraId="729D46A0"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30"/>
                <w:rFonts w:ascii="Times New Roman" w:hAnsi="Times New Roman" w:cs="Times New Roman"/>
                <w:color w:val="000000"/>
                <w:sz w:val="24"/>
                <w:szCs w:val="24"/>
                <w:lang w:val="ru-RU"/>
              </w:rPr>
              <w:t>2 мг</w:t>
            </w:r>
            <w:r w:rsidRPr="00C6706B">
              <w:rPr>
                <w:rStyle w:val="230"/>
                <w:rFonts w:ascii="Times New Roman" w:hAnsi="Times New Roman" w:cs="Times New Roman"/>
                <w:color w:val="000000"/>
                <w:sz w:val="24"/>
                <w:szCs w:val="24"/>
                <w:vertAlign w:val="superscript"/>
                <w:lang w:val="ru-RU"/>
              </w:rPr>
              <w:t>1</w:t>
            </w:r>
          </w:p>
        </w:tc>
        <w:tc>
          <w:tcPr>
            <w:cnfStyle w:val="000010000000" w:firstRow="0" w:lastRow="0" w:firstColumn="0" w:lastColumn="0" w:oddVBand="1" w:evenVBand="0" w:oddHBand="0" w:evenHBand="0" w:firstRowFirstColumn="0" w:firstRowLastColumn="0" w:lastRowFirstColumn="0" w:lastRowLastColumn="0"/>
            <w:tcW w:w="2446" w:type="dxa"/>
            <w:vAlign w:val="center"/>
          </w:tcPr>
          <w:p w14:paraId="16AB4D5B"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30"/>
                <w:rFonts w:ascii="Times New Roman" w:hAnsi="Times New Roman" w:cs="Times New Roman"/>
                <w:color w:val="000000"/>
                <w:sz w:val="24"/>
                <w:szCs w:val="24"/>
                <w:lang w:val="ru-RU"/>
              </w:rPr>
              <w:t>1 x 2 мг</w:t>
            </w:r>
            <w:r w:rsidRPr="00C6706B">
              <w:rPr>
                <w:rStyle w:val="230"/>
                <w:rFonts w:ascii="Times New Roman" w:hAnsi="Times New Roman" w:cs="Times New Roman"/>
                <w:color w:val="000000"/>
                <w:sz w:val="24"/>
                <w:szCs w:val="24"/>
                <w:vertAlign w:val="superscript"/>
                <w:lang w:val="ru-RU"/>
              </w:rPr>
              <w:t>1</w:t>
            </w:r>
          </w:p>
        </w:tc>
        <w:tc>
          <w:tcPr>
            <w:cnfStyle w:val="000001000000" w:firstRow="0" w:lastRow="0" w:firstColumn="0" w:lastColumn="0" w:oddVBand="0" w:evenVBand="1" w:oddHBand="0" w:evenHBand="0" w:firstRowFirstColumn="0" w:firstRowLastColumn="0" w:lastRowFirstColumn="0" w:lastRowLastColumn="0"/>
            <w:tcW w:w="3314" w:type="dxa"/>
            <w:vAlign w:val="center"/>
          </w:tcPr>
          <w:p w14:paraId="44C35ED2" w14:textId="77777777" w:rsidR="001F0AC4" w:rsidRPr="00C6706B" w:rsidRDefault="001F0AC4" w:rsidP="003F426C">
            <w:pPr>
              <w:pStyle w:val="211"/>
              <w:shd w:val="clear" w:color="auto" w:fill="auto"/>
              <w:spacing w:line="240" w:lineRule="auto"/>
              <w:ind w:firstLine="0"/>
              <w:jc w:val="center"/>
              <w:rPr>
                <w:rFonts w:ascii="Times New Roman" w:hAnsi="Times New Roman" w:cs="Times New Roman"/>
                <w:sz w:val="24"/>
                <w:szCs w:val="24"/>
                <w:lang w:val="ru-RU"/>
              </w:rPr>
            </w:pPr>
            <w:r w:rsidRPr="00C6706B">
              <w:rPr>
                <w:rStyle w:val="28"/>
                <w:rFonts w:ascii="Times New Roman" w:hAnsi="Times New Roman" w:cs="Times New Roman"/>
                <w:color w:val="000000"/>
                <w:sz w:val="24"/>
                <w:szCs w:val="24"/>
                <w:lang w:val="ru-RU"/>
              </w:rPr>
              <w:t>ПОДДЕРЖКА</w:t>
            </w:r>
          </w:p>
        </w:tc>
      </w:tr>
    </w:tbl>
    <w:p w14:paraId="5EDBBAA4" w14:textId="6EFB0687" w:rsidR="001F0AC4" w:rsidRPr="00C6706B" w:rsidRDefault="001F0AC4" w:rsidP="002B0543">
      <w:pPr>
        <w:jc w:val="both"/>
        <w:rPr>
          <w:rFonts w:cs="Times New Roman"/>
          <w:szCs w:val="24"/>
          <w:lang w:val="ru-RU"/>
        </w:rPr>
      </w:pPr>
      <w:r w:rsidRPr="00C6706B">
        <w:rPr>
          <w:rFonts w:cs="Times New Roman"/>
          <w:szCs w:val="24"/>
          <w:vertAlign w:val="superscript"/>
          <w:lang w:val="ru-RU"/>
        </w:rPr>
        <w:t>1</w:t>
      </w:r>
      <w:r w:rsidRPr="00C6706B">
        <w:rPr>
          <w:rFonts w:cs="Times New Roman"/>
          <w:szCs w:val="24"/>
          <w:lang w:val="ru-RU"/>
        </w:rPr>
        <w:t> Для пациентов с генотипом CYP2C9*2*3 или *1*3 рекомендуемая поддерживающая доза составляет 1 мг один раз в день (1 x 1 мг или 4 x 0,25 мг) (см. выше и разделы 4.4 и 5.2). Дополнительный прием 0,25 мг на 5-й день не ухудшает безопасность пациента.</w:t>
      </w:r>
    </w:p>
    <w:p w14:paraId="2E93FBD2" w14:textId="77777777" w:rsidR="001F0AC4" w:rsidRPr="00C6706B" w:rsidRDefault="001F0AC4" w:rsidP="002B0543">
      <w:pPr>
        <w:jc w:val="both"/>
        <w:rPr>
          <w:rFonts w:cs="Times New Roman"/>
          <w:sz w:val="24"/>
          <w:szCs w:val="24"/>
          <w:lang w:val="ru-RU"/>
        </w:rPr>
      </w:pPr>
    </w:p>
    <w:p w14:paraId="7E3083BF" w14:textId="77777777" w:rsidR="001F0AC4" w:rsidRPr="00C6706B" w:rsidRDefault="001F0AC4" w:rsidP="002B0543">
      <w:pPr>
        <w:jc w:val="both"/>
        <w:rPr>
          <w:rFonts w:cs="Times New Roman"/>
          <w:i/>
          <w:iCs/>
          <w:sz w:val="24"/>
          <w:szCs w:val="24"/>
          <w:u w:val="single"/>
          <w:lang w:val="ru-RU"/>
        </w:rPr>
      </w:pPr>
      <w:r w:rsidRPr="00C6706B">
        <w:rPr>
          <w:rFonts w:cs="Times New Roman"/>
          <w:i/>
          <w:iCs/>
          <w:sz w:val="24"/>
          <w:szCs w:val="24"/>
          <w:u w:val="single"/>
          <w:lang w:val="ru-RU"/>
        </w:rPr>
        <w:t>Поддерживающее лечение</w:t>
      </w:r>
    </w:p>
    <w:p w14:paraId="497EC708" w14:textId="4369EF28" w:rsidR="001F0AC4" w:rsidRPr="00C6706B" w:rsidRDefault="001F0AC4" w:rsidP="002B0543">
      <w:pPr>
        <w:jc w:val="both"/>
        <w:rPr>
          <w:rFonts w:cs="Times New Roman"/>
          <w:sz w:val="24"/>
          <w:szCs w:val="24"/>
          <w:lang w:val="ru-RU"/>
        </w:rPr>
      </w:pPr>
      <w:r w:rsidRPr="00C6706B">
        <w:rPr>
          <w:rFonts w:cs="Times New Roman"/>
          <w:sz w:val="24"/>
          <w:szCs w:val="24"/>
          <w:lang w:val="ru-RU"/>
        </w:rPr>
        <w:t>Для пациентов с генотипом CYP2C9*2*3 или *1*3 рекомендуемая поддерживающая доза составляет 1 мг (см. разделы 4.4 и 5.2).</w:t>
      </w:r>
    </w:p>
    <w:p w14:paraId="4CC5DD72" w14:textId="3295673B" w:rsidR="001F0AC4" w:rsidRPr="00383DBC" w:rsidRDefault="001F0AC4" w:rsidP="002B0543">
      <w:pPr>
        <w:jc w:val="both"/>
        <w:rPr>
          <w:rFonts w:cs="Times New Roman"/>
          <w:sz w:val="24"/>
          <w:szCs w:val="24"/>
          <w:lang w:val="ru-RU"/>
        </w:rPr>
      </w:pPr>
      <w:r w:rsidRPr="00C6706B">
        <w:rPr>
          <w:rFonts w:cs="Times New Roman"/>
          <w:sz w:val="24"/>
          <w:szCs w:val="24"/>
          <w:lang w:val="ru-RU"/>
        </w:rPr>
        <w:t>Рекомендуемая поддерживающая доза сипонимода для всех остальных пациентов с ге</w:t>
      </w:r>
      <w:r w:rsidR="003F426C" w:rsidRPr="00C6706B">
        <w:rPr>
          <w:rFonts w:cs="Times New Roman"/>
          <w:sz w:val="24"/>
          <w:szCs w:val="24"/>
          <w:lang w:val="ru-RU"/>
        </w:rPr>
        <w:t>нотипом CYP2C</w:t>
      </w:r>
      <w:r w:rsidR="003F426C">
        <w:rPr>
          <w:rFonts w:cs="Times New Roman"/>
          <w:sz w:val="24"/>
          <w:szCs w:val="24"/>
          <w:lang w:val="ru-RU"/>
        </w:rPr>
        <w:t>9 составляет 2 мг.</w:t>
      </w:r>
    </w:p>
    <w:p w14:paraId="03135EE7" w14:textId="12254B15" w:rsidR="001F0AC4" w:rsidRPr="00383DBC" w:rsidRDefault="00383DBC" w:rsidP="002B0543">
      <w:pPr>
        <w:jc w:val="both"/>
        <w:rPr>
          <w:rFonts w:cs="Times New Roman"/>
          <w:sz w:val="24"/>
          <w:szCs w:val="24"/>
          <w:lang w:val="ru-RU"/>
        </w:rPr>
      </w:pPr>
      <w:r w:rsidRPr="00383DBC">
        <w:rPr>
          <w:rFonts w:cs="Times New Roman"/>
          <w:sz w:val="24"/>
          <w:szCs w:val="24"/>
          <w:lang w:val="ru-RU"/>
        </w:rPr>
        <w:t xml:space="preserve">Сипонимод-Виста </w:t>
      </w:r>
      <w:r w:rsidR="001F0AC4" w:rsidRPr="00383DBC">
        <w:rPr>
          <w:rFonts w:cs="Times New Roman"/>
          <w:sz w:val="24"/>
          <w:szCs w:val="24"/>
          <w:lang w:val="ru-RU"/>
        </w:rPr>
        <w:t>принимают один раз в день.</w:t>
      </w:r>
    </w:p>
    <w:p w14:paraId="757CBBCA" w14:textId="07D1DCFD" w:rsidR="00B310AF" w:rsidRPr="00383DBC" w:rsidRDefault="00B310AF" w:rsidP="002B0543">
      <w:pPr>
        <w:pStyle w:val="aff4"/>
        <w:jc w:val="both"/>
        <w:rPr>
          <w:rFonts w:ascii="Times New Roman" w:eastAsia="Times New Roman" w:hAnsi="Times New Roman" w:cs="Times New Roman"/>
          <w:color w:val="000000"/>
          <w:sz w:val="24"/>
          <w:szCs w:val="24"/>
          <w:lang w:val="ru-RU" w:eastAsia="uk-UA"/>
        </w:rPr>
      </w:pPr>
      <w:r w:rsidRPr="00383DBC">
        <w:rPr>
          <w:rFonts w:ascii="Times New Roman" w:eastAsia="Times New Roman" w:hAnsi="Times New Roman" w:cs="Times New Roman"/>
          <w:b/>
          <w:bCs/>
          <w:i/>
          <w:iCs/>
          <w:color w:val="000000"/>
          <w:sz w:val="24"/>
          <w:szCs w:val="24"/>
          <w:lang w:val="ru-RU" w:eastAsia="uk-UA"/>
        </w:rPr>
        <w:t>Пропущенная доза</w:t>
      </w:r>
    </w:p>
    <w:p w14:paraId="7CF31C84" w14:textId="55F727DD" w:rsidR="001F0AC4" w:rsidRPr="003F426C" w:rsidRDefault="001F0AC4" w:rsidP="002B0543">
      <w:pPr>
        <w:jc w:val="both"/>
        <w:rPr>
          <w:rFonts w:cs="Times New Roman"/>
          <w:sz w:val="24"/>
          <w:szCs w:val="24"/>
          <w:lang w:val="ru-RU"/>
        </w:rPr>
      </w:pPr>
      <w:r w:rsidRPr="00383DBC">
        <w:rPr>
          <w:rFonts w:cs="Times New Roman"/>
          <w:sz w:val="24"/>
          <w:szCs w:val="24"/>
          <w:lang w:val="ru-RU"/>
        </w:rPr>
        <w:t>В течение первых 6 дней лечения, если в какой-то день пропущена доза титрования, лечение необходимо начать заново, используя новый пакет титрования.</w:t>
      </w:r>
      <w:r w:rsidR="003F426C">
        <w:rPr>
          <w:rFonts w:cs="Times New Roman"/>
          <w:sz w:val="24"/>
          <w:szCs w:val="24"/>
          <w:lang w:val="ru-RU"/>
        </w:rPr>
        <w:t xml:space="preserve"> </w:t>
      </w:r>
      <w:r w:rsidRPr="00383DBC">
        <w:rPr>
          <w:rFonts w:cs="Times New Roman"/>
          <w:i/>
          <w:iCs/>
          <w:sz w:val="24"/>
          <w:szCs w:val="24"/>
          <w:u w:val="single"/>
          <w:lang w:val="ru-RU"/>
        </w:rPr>
        <w:t>Пропущенная</w:t>
      </w:r>
      <w:r w:rsidR="003F426C">
        <w:rPr>
          <w:rFonts w:cs="Times New Roman"/>
          <w:i/>
          <w:iCs/>
          <w:sz w:val="24"/>
          <w:szCs w:val="24"/>
          <w:u w:val="single"/>
          <w:lang w:val="ru-RU"/>
        </w:rPr>
        <w:t> </w:t>
      </w:r>
      <w:r w:rsidRPr="00383DBC">
        <w:rPr>
          <w:rFonts w:cs="Times New Roman"/>
          <w:i/>
          <w:iCs/>
          <w:sz w:val="24"/>
          <w:szCs w:val="24"/>
          <w:u w:val="single"/>
          <w:lang w:val="ru-RU"/>
        </w:rPr>
        <w:t>доза после 6-го дня</w:t>
      </w:r>
    </w:p>
    <w:p w14:paraId="1599ED1D" w14:textId="77777777" w:rsidR="001F0AC4" w:rsidRPr="00383DBC" w:rsidRDefault="001F0AC4" w:rsidP="002B0543">
      <w:pPr>
        <w:jc w:val="both"/>
        <w:rPr>
          <w:rFonts w:cs="Times New Roman"/>
          <w:sz w:val="24"/>
          <w:szCs w:val="24"/>
          <w:lang w:val="ru-RU"/>
        </w:rPr>
      </w:pPr>
      <w:r w:rsidRPr="00383DBC">
        <w:rPr>
          <w:rFonts w:cs="Times New Roman"/>
          <w:sz w:val="24"/>
          <w:szCs w:val="24"/>
          <w:lang w:val="ru-RU"/>
        </w:rPr>
        <w:t>Если доза пропущена, необходимо принять назначенную дозу в следующее запланированное время; при этом не следует удваивать следующую дозу.</w:t>
      </w:r>
    </w:p>
    <w:p w14:paraId="4D2A406F" w14:textId="77777777" w:rsidR="001F0AC4" w:rsidRPr="00383DBC" w:rsidRDefault="001F0AC4" w:rsidP="002B0543">
      <w:pPr>
        <w:jc w:val="both"/>
        <w:rPr>
          <w:rFonts w:cs="Times New Roman"/>
          <w:i/>
          <w:iCs/>
          <w:sz w:val="24"/>
          <w:szCs w:val="24"/>
          <w:u w:val="single"/>
          <w:lang w:val="ru-RU"/>
        </w:rPr>
      </w:pPr>
      <w:r w:rsidRPr="00383DBC">
        <w:rPr>
          <w:rFonts w:cs="Times New Roman"/>
          <w:i/>
          <w:iCs/>
          <w:sz w:val="24"/>
          <w:szCs w:val="24"/>
          <w:u w:val="single"/>
          <w:lang w:val="ru-RU"/>
        </w:rPr>
        <w:t>Повторное начало поддерживающей терапии после перерыва в лечении</w:t>
      </w:r>
    </w:p>
    <w:p w14:paraId="0F03E04C" w14:textId="739D888B" w:rsidR="00A93F9E" w:rsidRPr="003F426C" w:rsidRDefault="001F0AC4" w:rsidP="002B0543">
      <w:pPr>
        <w:jc w:val="both"/>
        <w:rPr>
          <w:rFonts w:cs="Times New Roman"/>
          <w:sz w:val="24"/>
          <w:szCs w:val="24"/>
          <w:lang w:val="ru-RU"/>
        </w:rPr>
      </w:pPr>
      <w:r w:rsidRPr="00383DBC">
        <w:rPr>
          <w:rFonts w:cs="Times New Roman"/>
          <w:sz w:val="24"/>
          <w:szCs w:val="24"/>
          <w:lang w:val="ru-RU"/>
        </w:rPr>
        <w:t>Если в поддерживающей терапии был сделан перерыв на 4 или более суточных доз подряд, необходимо повторно начать прием сипоним</w:t>
      </w:r>
      <w:r w:rsidR="003F426C">
        <w:rPr>
          <w:rFonts w:cs="Times New Roman"/>
          <w:sz w:val="24"/>
          <w:szCs w:val="24"/>
          <w:lang w:val="ru-RU"/>
        </w:rPr>
        <w:t xml:space="preserve">ода с новым пакетом титрования. </w:t>
      </w:r>
      <w:r w:rsidR="00A93F9E" w:rsidRPr="00383DBC">
        <w:rPr>
          <w:rFonts w:eastAsia="Times New Roman" w:cs="Times New Roman"/>
          <w:b/>
          <w:sz w:val="24"/>
          <w:szCs w:val="24"/>
          <w:lang w:val="ru-RU" w:eastAsia="ru-RU"/>
        </w:rPr>
        <w:t>Особые группы пациентов</w:t>
      </w:r>
    </w:p>
    <w:p w14:paraId="22C0718B" w14:textId="77777777" w:rsidR="00A93F9E" w:rsidRPr="00383DBC" w:rsidRDefault="00A93F9E" w:rsidP="002B0543">
      <w:pPr>
        <w:jc w:val="both"/>
        <w:rPr>
          <w:rFonts w:eastAsia="Times New Roman" w:cs="Times New Roman"/>
          <w:i/>
          <w:sz w:val="24"/>
          <w:szCs w:val="24"/>
          <w:lang w:val="ru-RU"/>
        </w:rPr>
      </w:pPr>
      <w:r w:rsidRPr="00383DBC">
        <w:rPr>
          <w:rFonts w:eastAsia="Times New Roman" w:cs="Times New Roman"/>
          <w:i/>
          <w:sz w:val="24"/>
          <w:szCs w:val="24"/>
          <w:lang w:val="ru-RU"/>
        </w:rPr>
        <w:t>Дети</w:t>
      </w:r>
    </w:p>
    <w:p w14:paraId="462361CC" w14:textId="045E1AAE" w:rsidR="001F0AC4" w:rsidRPr="00383DBC" w:rsidRDefault="001F0AC4" w:rsidP="002B0543">
      <w:pPr>
        <w:pStyle w:val="aff4"/>
        <w:jc w:val="both"/>
        <w:rPr>
          <w:rFonts w:ascii="Times New Roman" w:eastAsia="Times New Roman" w:hAnsi="Times New Roman" w:cs="Times New Roman"/>
          <w:color w:val="000000"/>
          <w:sz w:val="24"/>
          <w:szCs w:val="24"/>
          <w:lang w:val="ru-RU" w:eastAsia="uk-UA"/>
        </w:rPr>
      </w:pPr>
      <w:r w:rsidRPr="00383DBC">
        <w:rPr>
          <w:rFonts w:ascii="Times New Roman" w:eastAsia="Times New Roman" w:hAnsi="Times New Roman" w:cs="Times New Roman"/>
          <w:color w:val="000000"/>
          <w:sz w:val="24"/>
          <w:szCs w:val="24"/>
          <w:lang w:val="ru-RU" w:eastAsia="uk-UA"/>
        </w:rPr>
        <w:t>Безопасность и эффективность сипонимода у детей и подростков в возрасте от 0 до 18</w:t>
      </w:r>
      <w:r w:rsidR="003F426C">
        <w:rPr>
          <w:rFonts w:ascii="Times New Roman" w:eastAsia="Times New Roman" w:hAnsi="Times New Roman" w:cs="Times New Roman"/>
          <w:color w:val="000000"/>
          <w:sz w:val="24"/>
          <w:szCs w:val="24"/>
          <w:lang w:val="ru-RU" w:eastAsia="uk-UA"/>
        </w:rPr>
        <w:t> </w:t>
      </w:r>
      <w:r w:rsidRPr="00383DBC">
        <w:rPr>
          <w:rFonts w:ascii="Times New Roman" w:eastAsia="Times New Roman" w:hAnsi="Times New Roman" w:cs="Times New Roman"/>
          <w:color w:val="000000"/>
          <w:sz w:val="24"/>
          <w:szCs w:val="24"/>
          <w:lang w:val="ru-RU" w:eastAsia="uk-UA"/>
        </w:rPr>
        <w:t>лет пока не установлены. Данные отсутствуют.</w:t>
      </w:r>
    </w:p>
    <w:p w14:paraId="1DECAF3E" w14:textId="566B9817" w:rsidR="00A93F9E" w:rsidRPr="00383DBC" w:rsidRDefault="00A93F9E" w:rsidP="002B0543">
      <w:pPr>
        <w:pStyle w:val="aff4"/>
        <w:jc w:val="both"/>
        <w:rPr>
          <w:rFonts w:ascii="Times New Roman" w:eastAsia="Times New Roman" w:hAnsi="Times New Roman" w:cs="Times New Roman"/>
          <w:color w:val="000000"/>
          <w:sz w:val="24"/>
          <w:szCs w:val="24"/>
          <w:lang w:val="ru-RU" w:eastAsia="uk-UA"/>
        </w:rPr>
      </w:pPr>
      <w:r w:rsidRPr="00383DBC">
        <w:rPr>
          <w:rFonts w:ascii="Times New Roman" w:eastAsia="Times New Roman" w:hAnsi="Times New Roman" w:cs="Times New Roman"/>
          <w:i/>
          <w:sz w:val="24"/>
          <w:szCs w:val="24"/>
          <w:lang w:val="ru-RU"/>
        </w:rPr>
        <w:t>Пациенты</w:t>
      </w:r>
      <w:r w:rsidR="00E13350" w:rsidRPr="00383DBC">
        <w:rPr>
          <w:rFonts w:ascii="Times New Roman" w:eastAsia="Times New Roman" w:hAnsi="Times New Roman" w:cs="Times New Roman"/>
          <w:i/>
          <w:sz w:val="24"/>
          <w:szCs w:val="24"/>
          <w:lang w:val="ru-RU"/>
        </w:rPr>
        <w:t> </w:t>
      </w:r>
      <w:r w:rsidRPr="00383DBC">
        <w:rPr>
          <w:rFonts w:ascii="Times New Roman" w:eastAsia="Times New Roman" w:hAnsi="Times New Roman" w:cs="Times New Roman"/>
          <w:i/>
          <w:sz w:val="24"/>
          <w:szCs w:val="24"/>
          <w:lang w:val="ru-RU"/>
        </w:rPr>
        <w:t>пожилого возраста</w:t>
      </w:r>
    </w:p>
    <w:p w14:paraId="730B8466" w14:textId="06930B2A" w:rsidR="001F0AC4" w:rsidRPr="00383DBC" w:rsidRDefault="001F0AC4" w:rsidP="002B0543">
      <w:pPr>
        <w:pStyle w:val="aff4"/>
        <w:jc w:val="both"/>
        <w:rPr>
          <w:rFonts w:ascii="Times New Roman" w:eastAsia="Times New Roman" w:hAnsi="Times New Roman" w:cs="Times New Roman"/>
          <w:color w:val="000000"/>
          <w:sz w:val="24"/>
          <w:szCs w:val="24"/>
          <w:lang w:val="ru-RU" w:eastAsia="uk-UA"/>
        </w:rPr>
      </w:pPr>
      <w:r w:rsidRPr="00383DBC">
        <w:rPr>
          <w:rFonts w:ascii="Times New Roman" w:eastAsia="Times New Roman" w:hAnsi="Times New Roman" w:cs="Times New Roman"/>
          <w:color w:val="000000"/>
          <w:sz w:val="24"/>
          <w:szCs w:val="24"/>
          <w:lang w:val="ru-RU" w:eastAsia="uk-UA"/>
        </w:rPr>
        <w:t>Сипонимод не проходил исследований у пациентов в возрасте 65 лет и старше. В</w:t>
      </w:r>
      <w:r w:rsidR="003F426C">
        <w:rPr>
          <w:rFonts w:ascii="Times New Roman" w:eastAsia="Times New Roman" w:hAnsi="Times New Roman" w:cs="Times New Roman"/>
          <w:color w:val="000000"/>
          <w:sz w:val="24"/>
          <w:szCs w:val="24"/>
          <w:lang w:val="ru-RU" w:eastAsia="uk-UA"/>
        </w:rPr>
        <w:t> </w:t>
      </w:r>
      <w:r w:rsidRPr="00383DBC">
        <w:rPr>
          <w:rFonts w:ascii="Times New Roman" w:eastAsia="Times New Roman" w:hAnsi="Times New Roman" w:cs="Times New Roman"/>
          <w:color w:val="000000"/>
          <w:sz w:val="24"/>
          <w:szCs w:val="24"/>
          <w:lang w:val="ru-RU" w:eastAsia="uk-UA"/>
        </w:rPr>
        <w:t xml:space="preserve">клинические исследования включались пациенты в возрасте до 61 года. Сипонимод </w:t>
      </w:r>
      <w:r w:rsidRPr="00383DBC">
        <w:rPr>
          <w:rFonts w:ascii="Times New Roman" w:eastAsia="Times New Roman" w:hAnsi="Times New Roman" w:cs="Times New Roman"/>
          <w:color w:val="000000"/>
          <w:sz w:val="24"/>
          <w:szCs w:val="24"/>
          <w:lang w:val="ru-RU" w:eastAsia="uk-UA"/>
        </w:rPr>
        <w:lastRenderedPageBreak/>
        <w:t>следует применять с осторожностью у пожилых людей из-за недостаточного количества данных по безопасности и эффективности (см. раздел 5.2).</w:t>
      </w:r>
    </w:p>
    <w:p w14:paraId="02A1205B" w14:textId="1BE33F82" w:rsidR="00A93F9E" w:rsidRPr="00383DBC" w:rsidRDefault="00A93F9E" w:rsidP="002B0543">
      <w:pPr>
        <w:pStyle w:val="aff4"/>
        <w:jc w:val="both"/>
        <w:rPr>
          <w:rFonts w:ascii="Times New Roman" w:eastAsia="Times New Roman" w:hAnsi="Times New Roman" w:cs="Times New Roman"/>
          <w:color w:val="000000"/>
          <w:sz w:val="24"/>
          <w:szCs w:val="24"/>
          <w:highlight w:val="yellow"/>
          <w:lang w:val="ru-RU" w:eastAsia="uk-UA"/>
        </w:rPr>
      </w:pPr>
      <w:r w:rsidRPr="00383DBC">
        <w:rPr>
          <w:rFonts w:ascii="Times New Roman" w:eastAsia="Times New Roman" w:hAnsi="Times New Roman" w:cs="Times New Roman"/>
          <w:i/>
          <w:sz w:val="24"/>
          <w:szCs w:val="24"/>
          <w:lang w:val="ru-RU"/>
        </w:rPr>
        <w:t>Пациенты с печеночной недостаточностью</w:t>
      </w:r>
    </w:p>
    <w:p w14:paraId="22CE6157" w14:textId="31EE149B" w:rsidR="001F0AC4" w:rsidRPr="00383DBC" w:rsidRDefault="001F0AC4" w:rsidP="002B0543">
      <w:pPr>
        <w:jc w:val="both"/>
        <w:rPr>
          <w:rFonts w:eastAsia="Times New Roman" w:cs="Times New Roman"/>
          <w:color w:val="000000"/>
          <w:sz w:val="24"/>
          <w:szCs w:val="24"/>
          <w:lang w:val="ru-RU" w:eastAsia="uk-UA"/>
        </w:rPr>
      </w:pPr>
      <w:r w:rsidRPr="00383DBC">
        <w:rPr>
          <w:rFonts w:eastAsia="Times New Roman" w:cs="Times New Roman"/>
          <w:color w:val="000000"/>
          <w:sz w:val="24"/>
          <w:szCs w:val="24"/>
          <w:lang w:val="ru-RU" w:eastAsia="uk-UA"/>
        </w:rPr>
        <w:t>Сипонимод не следует применять у пациентов с тяжелой печеночной недостаточностью (класс С по классификации Чайлд-Пью) (см. раздел 4.3). Хотя</w:t>
      </w:r>
      <w:r w:rsidR="003F426C">
        <w:rPr>
          <w:rFonts w:eastAsia="Times New Roman" w:cs="Times New Roman"/>
          <w:color w:val="000000"/>
          <w:sz w:val="24"/>
          <w:szCs w:val="24"/>
          <w:lang w:val="ru-RU" w:eastAsia="uk-UA"/>
        </w:rPr>
        <w:t> </w:t>
      </w:r>
      <w:r w:rsidRPr="00383DBC">
        <w:rPr>
          <w:rFonts w:eastAsia="Times New Roman" w:cs="Times New Roman"/>
          <w:color w:val="000000"/>
          <w:sz w:val="24"/>
          <w:szCs w:val="24"/>
          <w:lang w:val="ru-RU" w:eastAsia="uk-UA"/>
        </w:rPr>
        <w:t>коррекции дозы у пациентов с легкой или умеренной печеночной недостаточностью не требуется, следует соблюдать осторожность при начале лечения таких пациентов (см. разделы 4.4 и 5.2).</w:t>
      </w:r>
    </w:p>
    <w:p w14:paraId="43CEFDF7" w14:textId="6278FB81" w:rsidR="00A93F9E" w:rsidRPr="00383DBC" w:rsidRDefault="00A93F9E" w:rsidP="002B0543">
      <w:pPr>
        <w:jc w:val="both"/>
        <w:rPr>
          <w:rFonts w:eastAsia="Times New Roman" w:cs="Times New Roman"/>
          <w:i/>
          <w:sz w:val="24"/>
          <w:szCs w:val="24"/>
          <w:lang w:val="ru-RU"/>
        </w:rPr>
      </w:pPr>
      <w:r w:rsidRPr="00383DBC">
        <w:rPr>
          <w:rFonts w:eastAsia="Times New Roman" w:cs="Times New Roman"/>
          <w:i/>
          <w:sz w:val="24"/>
          <w:szCs w:val="24"/>
          <w:lang w:val="ru-RU"/>
        </w:rPr>
        <w:t>Пациенты с почечной недостаточностью</w:t>
      </w:r>
    </w:p>
    <w:p w14:paraId="490D4B91" w14:textId="77777777" w:rsidR="001F0AC4" w:rsidRPr="00383DBC" w:rsidRDefault="001F0AC4" w:rsidP="002B0543">
      <w:pPr>
        <w:pStyle w:val="aff4"/>
        <w:jc w:val="both"/>
        <w:rPr>
          <w:rFonts w:ascii="Times New Roman" w:eastAsia="Times New Roman" w:hAnsi="Times New Roman" w:cs="Times New Roman"/>
          <w:color w:val="000000"/>
          <w:sz w:val="24"/>
          <w:szCs w:val="24"/>
          <w:lang w:val="ru-RU" w:eastAsia="uk-UA"/>
        </w:rPr>
      </w:pPr>
      <w:bookmarkStart w:id="17" w:name="_i4i1lcnDk3zqLBW5B3Ct0ilmU"/>
      <w:bookmarkEnd w:id="17"/>
      <w:r w:rsidRPr="00383DBC">
        <w:rPr>
          <w:rFonts w:ascii="Times New Roman" w:eastAsia="Times New Roman" w:hAnsi="Times New Roman" w:cs="Times New Roman"/>
          <w:color w:val="000000"/>
          <w:sz w:val="24"/>
          <w:szCs w:val="24"/>
          <w:lang w:val="ru-RU" w:eastAsia="uk-UA"/>
        </w:rPr>
        <w:t>По данным клинических фармакологических исследований, коррекции дозы у пациентов с нарушением функции почек не требуется (см. раздел 5.2).</w:t>
      </w:r>
    </w:p>
    <w:p w14:paraId="36CE4485" w14:textId="1E18D46B" w:rsidR="00A93F9E" w:rsidRPr="00383DBC" w:rsidRDefault="00A93F9E" w:rsidP="002B0543">
      <w:pPr>
        <w:pStyle w:val="aff4"/>
        <w:jc w:val="both"/>
        <w:rPr>
          <w:rFonts w:ascii="Times New Roman" w:eastAsia="Times New Roman" w:hAnsi="Times New Roman" w:cs="Times New Roman"/>
          <w:color w:val="000000"/>
          <w:sz w:val="24"/>
          <w:szCs w:val="24"/>
          <w:lang w:val="ru-RU" w:eastAsia="uk-UA"/>
        </w:rPr>
      </w:pPr>
      <w:r w:rsidRPr="00383DBC">
        <w:rPr>
          <w:rFonts w:ascii="Times New Roman" w:eastAsia="Times New Roman" w:hAnsi="Times New Roman" w:cs="Times New Roman"/>
          <w:b/>
          <w:sz w:val="24"/>
          <w:szCs w:val="24"/>
          <w:lang w:val="ru-RU" w:eastAsia="ru-RU"/>
        </w:rPr>
        <w:t>Способ</w:t>
      </w:r>
      <w:r w:rsidRPr="00383DBC">
        <w:rPr>
          <w:rFonts w:ascii="Times New Roman" w:hAnsi="Times New Roman" w:cs="Times New Roman"/>
          <w:b/>
          <w:sz w:val="24"/>
          <w:szCs w:val="24"/>
          <w:lang w:val="ru-RU"/>
        </w:rPr>
        <w:t xml:space="preserve"> применения</w:t>
      </w:r>
    </w:p>
    <w:p w14:paraId="22C5F873" w14:textId="77777777" w:rsidR="001F0AC4" w:rsidRPr="00383DBC" w:rsidRDefault="001F0AC4" w:rsidP="002B0543">
      <w:pPr>
        <w:jc w:val="both"/>
        <w:rPr>
          <w:rFonts w:eastAsia="Times New Roman" w:cs="Times New Roman"/>
          <w:color w:val="000000"/>
          <w:sz w:val="24"/>
          <w:szCs w:val="24"/>
          <w:lang w:val="ru-RU" w:eastAsia="uk-UA"/>
        </w:rPr>
      </w:pPr>
      <w:bookmarkStart w:id="18" w:name="2175220277"/>
      <w:bookmarkStart w:id="19" w:name="_i4i5uHoaa9Li4Vp3jSruvjBU7"/>
      <w:bookmarkEnd w:id="18"/>
      <w:bookmarkEnd w:id="19"/>
      <w:r w:rsidRPr="00383DBC">
        <w:rPr>
          <w:rFonts w:eastAsia="Times New Roman" w:cs="Times New Roman"/>
          <w:color w:val="000000"/>
          <w:sz w:val="24"/>
          <w:szCs w:val="24"/>
          <w:lang w:val="ru-RU" w:eastAsia="uk-UA"/>
        </w:rPr>
        <w:t>Пероральное применение. Сипонимод принимают с пищей или без нее.</w:t>
      </w:r>
    </w:p>
    <w:p w14:paraId="1BAA9B68" w14:textId="1FD90DB3" w:rsidR="00B310AF" w:rsidRPr="00383DBC" w:rsidRDefault="001F0AC4" w:rsidP="002B0543">
      <w:pPr>
        <w:jc w:val="both"/>
        <w:rPr>
          <w:rFonts w:eastAsia="Times New Roman" w:cs="Times New Roman"/>
          <w:color w:val="000000"/>
          <w:sz w:val="24"/>
          <w:szCs w:val="24"/>
          <w:lang w:val="ru-RU" w:eastAsia="uk-UA"/>
        </w:rPr>
      </w:pPr>
      <w:r w:rsidRPr="00383DBC">
        <w:rPr>
          <w:rFonts w:eastAsia="Times New Roman" w:cs="Times New Roman"/>
          <w:color w:val="000000"/>
          <w:sz w:val="24"/>
          <w:szCs w:val="24"/>
          <w:lang w:val="ru-RU" w:eastAsia="uk-UA"/>
        </w:rPr>
        <w:t>Таблетки, покрытые пленочной оболочкой, следует проглатывать целиком, запивая водой.</w:t>
      </w:r>
    </w:p>
    <w:p w14:paraId="64EF4F29" w14:textId="77777777" w:rsidR="001F0AC4" w:rsidRPr="00383DBC" w:rsidRDefault="001F0AC4" w:rsidP="002B0543">
      <w:pPr>
        <w:jc w:val="both"/>
        <w:rPr>
          <w:rFonts w:eastAsia="SimSun" w:cs="Times New Roman"/>
          <w:sz w:val="24"/>
          <w:szCs w:val="24"/>
          <w:highlight w:val="yellow"/>
          <w:lang w:val="ru-RU" w:eastAsia="ru-RU"/>
        </w:rPr>
      </w:pPr>
    </w:p>
    <w:p w14:paraId="72D39055" w14:textId="4554283E" w:rsidR="00A93F9E" w:rsidRPr="00383DBC" w:rsidRDefault="00A93F9E" w:rsidP="002B0543">
      <w:pPr>
        <w:jc w:val="both"/>
        <w:rPr>
          <w:rFonts w:eastAsia="Times New Roman" w:cs="Times New Roman"/>
          <w:b/>
          <w:sz w:val="24"/>
          <w:szCs w:val="24"/>
          <w:lang w:val="ru-RU" w:eastAsia="ru-RU"/>
        </w:rPr>
      </w:pPr>
      <w:r w:rsidRPr="00383DBC">
        <w:rPr>
          <w:rFonts w:eastAsia="Times New Roman" w:cs="Times New Roman"/>
          <w:b/>
          <w:sz w:val="24"/>
          <w:szCs w:val="24"/>
          <w:lang w:val="ru-RU" w:eastAsia="ru-RU"/>
        </w:rPr>
        <w:t>4.3 Противопоказания</w:t>
      </w:r>
    </w:p>
    <w:p w14:paraId="762F4754" w14:textId="6BFA079F" w:rsidR="009C38EA" w:rsidRPr="00383DBC" w:rsidRDefault="00551916" w:rsidP="002B0543">
      <w:pPr>
        <w:tabs>
          <w:tab w:val="left" w:pos="426"/>
        </w:tabs>
        <w:jc w:val="both"/>
        <w:rPr>
          <w:rFonts w:eastAsia="Times New Roman" w:cs="Times New Roman"/>
          <w:sz w:val="24"/>
          <w:szCs w:val="24"/>
          <w:lang w:val="ru-RU"/>
        </w:rPr>
      </w:pPr>
      <w:bookmarkStart w:id="20" w:name="_i4i39qCi8g4PXczpdolvi19hX"/>
      <w:bookmarkEnd w:id="20"/>
      <w:r>
        <w:rPr>
          <w:rFonts w:eastAsia="Times New Roman" w:cs="Times New Roman"/>
          <w:sz w:val="24"/>
          <w:szCs w:val="24"/>
          <w:lang w:val="ru-RU"/>
        </w:rPr>
        <w:t>- п</w:t>
      </w:r>
      <w:r w:rsidR="009C38EA" w:rsidRPr="00383DBC">
        <w:rPr>
          <w:rFonts w:eastAsia="Times New Roman" w:cs="Times New Roman"/>
          <w:sz w:val="24"/>
          <w:szCs w:val="24"/>
          <w:lang w:val="ru-RU"/>
        </w:rPr>
        <w:t>овышенная чувствительность к активному веществу, арахису, сое или любому из вспомогательных веществ, перечисленных в разделе 6.1</w:t>
      </w:r>
    </w:p>
    <w:p w14:paraId="0ED04CE4" w14:textId="246B7E9C" w:rsidR="009C38EA" w:rsidRPr="00383DBC" w:rsidRDefault="009C38EA" w:rsidP="002B0543">
      <w:pPr>
        <w:tabs>
          <w:tab w:val="left" w:pos="426"/>
        </w:tabs>
        <w:jc w:val="both"/>
        <w:rPr>
          <w:rFonts w:eastAsia="Times New Roman" w:cs="Times New Roman"/>
          <w:sz w:val="24"/>
          <w:szCs w:val="24"/>
          <w:lang w:val="ru-RU"/>
        </w:rPr>
      </w:pPr>
      <w:r w:rsidRPr="00383DBC">
        <w:rPr>
          <w:rFonts w:eastAsia="Times New Roman" w:cs="Times New Roman"/>
          <w:sz w:val="24"/>
          <w:szCs w:val="24"/>
          <w:lang w:val="ru-RU"/>
        </w:rPr>
        <w:t xml:space="preserve">- </w:t>
      </w:r>
      <w:r w:rsidR="00551916">
        <w:rPr>
          <w:rFonts w:eastAsia="Times New Roman" w:cs="Times New Roman"/>
          <w:sz w:val="24"/>
          <w:szCs w:val="24"/>
          <w:lang w:val="ru-RU"/>
        </w:rPr>
        <w:t>с</w:t>
      </w:r>
      <w:r w:rsidRPr="00383DBC">
        <w:rPr>
          <w:rFonts w:eastAsia="Times New Roman" w:cs="Times New Roman"/>
          <w:sz w:val="24"/>
          <w:szCs w:val="24"/>
          <w:lang w:val="ru-RU"/>
        </w:rPr>
        <w:t>индром иммунодефицита</w:t>
      </w:r>
    </w:p>
    <w:p w14:paraId="6822858A" w14:textId="2C0FE875" w:rsidR="009C38EA" w:rsidRPr="00383DBC" w:rsidRDefault="009C38EA" w:rsidP="002B0543">
      <w:pPr>
        <w:tabs>
          <w:tab w:val="left" w:pos="426"/>
        </w:tabs>
        <w:jc w:val="both"/>
        <w:rPr>
          <w:rFonts w:eastAsia="Times New Roman" w:cs="Times New Roman"/>
          <w:sz w:val="24"/>
          <w:szCs w:val="24"/>
          <w:lang w:val="ru-RU"/>
        </w:rPr>
      </w:pPr>
      <w:r w:rsidRPr="00383DBC">
        <w:rPr>
          <w:rFonts w:eastAsia="Times New Roman" w:cs="Times New Roman"/>
          <w:sz w:val="24"/>
          <w:szCs w:val="24"/>
          <w:lang w:val="ru-RU"/>
        </w:rPr>
        <w:t xml:space="preserve">- </w:t>
      </w:r>
      <w:r w:rsidR="00551916">
        <w:rPr>
          <w:rFonts w:eastAsia="Times New Roman" w:cs="Times New Roman"/>
          <w:sz w:val="24"/>
          <w:szCs w:val="24"/>
          <w:lang w:val="ru-RU"/>
        </w:rPr>
        <w:t>п</w:t>
      </w:r>
      <w:r w:rsidRPr="00383DBC">
        <w:rPr>
          <w:rFonts w:eastAsia="Times New Roman" w:cs="Times New Roman"/>
          <w:sz w:val="24"/>
          <w:szCs w:val="24"/>
          <w:lang w:val="ru-RU"/>
        </w:rPr>
        <w:t>рогрессирующая мультифокальная лейкоэнцефалопатия или криптококковый менингит в анамнезе</w:t>
      </w:r>
    </w:p>
    <w:p w14:paraId="0F6A009D" w14:textId="1D18EBBD" w:rsidR="009C38EA" w:rsidRPr="00383DBC" w:rsidRDefault="009C38EA" w:rsidP="002B0543">
      <w:pPr>
        <w:tabs>
          <w:tab w:val="left" w:pos="426"/>
        </w:tabs>
        <w:jc w:val="both"/>
        <w:rPr>
          <w:rFonts w:eastAsia="Times New Roman" w:cs="Times New Roman"/>
          <w:sz w:val="24"/>
          <w:szCs w:val="24"/>
          <w:lang w:val="ru-RU"/>
        </w:rPr>
      </w:pPr>
      <w:r w:rsidRPr="00383DBC">
        <w:rPr>
          <w:rFonts w:eastAsia="Times New Roman" w:cs="Times New Roman"/>
          <w:sz w:val="24"/>
          <w:szCs w:val="24"/>
          <w:lang w:val="ru-RU"/>
        </w:rPr>
        <w:t xml:space="preserve">- </w:t>
      </w:r>
      <w:r w:rsidR="00551916">
        <w:rPr>
          <w:rFonts w:eastAsia="Times New Roman" w:cs="Times New Roman"/>
          <w:sz w:val="24"/>
          <w:szCs w:val="24"/>
          <w:lang w:val="ru-RU"/>
        </w:rPr>
        <w:t>а</w:t>
      </w:r>
      <w:r w:rsidRPr="00383DBC">
        <w:rPr>
          <w:rFonts w:eastAsia="Times New Roman" w:cs="Times New Roman"/>
          <w:sz w:val="24"/>
          <w:szCs w:val="24"/>
          <w:lang w:val="ru-RU"/>
        </w:rPr>
        <w:t>ктивные злокачественные новообразования</w:t>
      </w:r>
    </w:p>
    <w:p w14:paraId="70A635B6" w14:textId="3D1AED0C" w:rsidR="009C38EA" w:rsidRPr="00383DBC" w:rsidRDefault="009C38EA" w:rsidP="002B0543">
      <w:pPr>
        <w:tabs>
          <w:tab w:val="left" w:pos="426"/>
        </w:tabs>
        <w:jc w:val="both"/>
        <w:rPr>
          <w:rFonts w:eastAsia="Times New Roman" w:cs="Times New Roman"/>
          <w:sz w:val="24"/>
          <w:szCs w:val="24"/>
          <w:lang w:val="ru-RU"/>
        </w:rPr>
      </w:pPr>
      <w:r w:rsidRPr="00383DBC">
        <w:rPr>
          <w:rFonts w:eastAsia="Times New Roman" w:cs="Times New Roman"/>
          <w:sz w:val="24"/>
          <w:szCs w:val="24"/>
          <w:lang w:val="ru-RU"/>
        </w:rPr>
        <w:t xml:space="preserve">- </w:t>
      </w:r>
      <w:r w:rsidR="00551916">
        <w:rPr>
          <w:rFonts w:eastAsia="Times New Roman" w:cs="Times New Roman"/>
          <w:sz w:val="24"/>
          <w:szCs w:val="24"/>
          <w:lang w:val="ru-RU"/>
        </w:rPr>
        <w:t>т</w:t>
      </w:r>
      <w:r w:rsidRPr="00383DBC">
        <w:rPr>
          <w:rFonts w:eastAsia="Times New Roman" w:cs="Times New Roman"/>
          <w:sz w:val="24"/>
          <w:szCs w:val="24"/>
          <w:lang w:val="ru-RU"/>
        </w:rPr>
        <w:t>яжелое нарушение функции печени (класс С по классификации Чайлд-Пью)</w:t>
      </w:r>
    </w:p>
    <w:p w14:paraId="33678D8A" w14:textId="77AB36FA" w:rsidR="009C38EA" w:rsidRPr="00383DBC" w:rsidRDefault="009C38EA" w:rsidP="002B0543">
      <w:pPr>
        <w:tabs>
          <w:tab w:val="left" w:pos="426"/>
        </w:tabs>
        <w:jc w:val="both"/>
        <w:rPr>
          <w:rFonts w:eastAsia="Times New Roman" w:cs="Times New Roman"/>
          <w:sz w:val="24"/>
          <w:szCs w:val="24"/>
          <w:lang w:val="ru-RU"/>
        </w:rPr>
      </w:pPr>
      <w:r w:rsidRPr="00383DBC">
        <w:rPr>
          <w:rFonts w:eastAsia="Times New Roman" w:cs="Times New Roman"/>
          <w:sz w:val="24"/>
          <w:szCs w:val="24"/>
          <w:lang w:val="ru-RU"/>
        </w:rPr>
        <w:t xml:space="preserve">- </w:t>
      </w:r>
      <w:r w:rsidR="00551916">
        <w:rPr>
          <w:rFonts w:eastAsia="Times New Roman" w:cs="Times New Roman"/>
          <w:sz w:val="24"/>
          <w:szCs w:val="24"/>
          <w:lang w:val="ru-RU"/>
        </w:rPr>
        <w:t>п</w:t>
      </w:r>
      <w:r w:rsidRPr="00383DBC">
        <w:rPr>
          <w:rFonts w:eastAsia="Times New Roman" w:cs="Times New Roman"/>
          <w:sz w:val="24"/>
          <w:szCs w:val="24"/>
          <w:lang w:val="ru-RU"/>
        </w:rPr>
        <w:t>ациенты, которые в течение предыдущих 6 месяц</w:t>
      </w:r>
      <w:r w:rsidR="003F426C">
        <w:rPr>
          <w:rFonts w:eastAsia="Times New Roman" w:cs="Times New Roman"/>
          <w:sz w:val="24"/>
          <w:szCs w:val="24"/>
          <w:lang w:val="ru-RU"/>
        </w:rPr>
        <w:t>ев перенесли инфаркт миокарда (</w:t>
      </w:r>
      <w:r w:rsidRPr="00383DBC">
        <w:rPr>
          <w:rFonts w:eastAsia="Times New Roman" w:cs="Times New Roman"/>
          <w:sz w:val="24"/>
          <w:szCs w:val="24"/>
          <w:lang w:val="ru-RU"/>
        </w:rPr>
        <w:t>ИМ), нестабильную стенокардию, инсульт/переходную ишемическую атаку (ПИА), декомпенсированную сердечную недостаточность (требующую стационарного лечения) или сердечную недостаточность III/IV класса по классификации Н</w:t>
      </w:r>
      <w:r w:rsidR="003F426C">
        <w:rPr>
          <w:rFonts w:eastAsia="Times New Roman" w:cs="Times New Roman"/>
          <w:sz w:val="24"/>
          <w:szCs w:val="24"/>
          <w:lang w:val="ru-RU"/>
        </w:rPr>
        <w:t>ью</w:t>
      </w:r>
      <w:r w:rsidR="003F426C">
        <w:rPr>
          <w:rFonts w:eastAsia="Times New Roman" w:cs="Times New Roman"/>
          <w:sz w:val="24"/>
          <w:szCs w:val="24"/>
          <w:lang w:val="ru-RU"/>
        </w:rPr>
        <w:noBreakHyphen/>
      </w:r>
      <w:r w:rsidRPr="00383DBC">
        <w:rPr>
          <w:rFonts w:eastAsia="Times New Roman" w:cs="Times New Roman"/>
          <w:sz w:val="24"/>
          <w:szCs w:val="24"/>
          <w:lang w:val="ru-RU"/>
        </w:rPr>
        <w:t>Йоркской ассоциации сердца (NYHA) (см. раздел 4.4)</w:t>
      </w:r>
    </w:p>
    <w:p w14:paraId="26ADBBE1" w14:textId="3D35D3ED" w:rsidR="009C38EA" w:rsidRPr="00383DBC" w:rsidRDefault="009C38EA" w:rsidP="002B0543">
      <w:pPr>
        <w:tabs>
          <w:tab w:val="left" w:pos="426"/>
        </w:tabs>
        <w:jc w:val="both"/>
        <w:rPr>
          <w:rFonts w:eastAsia="Times New Roman" w:cs="Times New Roman"/>
          <w:sz w:val="24"/>
          <w:szCs w:val="24"/>
          <w:lang w:val="ru-RU"/>
        </w:rPr>
      </w:pPr>
      <w:r w:rsidRPr="00383DBC">
        <w:rPr>
          <w:rFonts w:eastAsia="Times New Roman" w:cs="Times New Roman"/>
          <w:sz w:val="24"/>
          <w:szCs w:val="24"/>
          <w:lang w:val="ru-RU"/>
        </w:rPr>
        <w:t xml:space="preserve">- </w:t>
      </w:r>
      <w:r w:rsidR="00551916">
        <w:rPr>
          <w:rFonts w:eastAsia="Times New Roman" w:cs="Times New Roman"/>
          <w:sz w:val="24"/>
          <w:szCs w:val="24"/>
          <w:lang w:val="ru-RU"/>
        </w:rPr>
        <w:t>п</w:t>
      </w:r>
      <w:r w:rsidRPr="00383DBC">
        <w:rPr>
          <w:rFonts w:eastAsia="Times New Roman" w:cs="Times New Roman"/>
          <w:sz w:val="24"/>
          <w:szCs w:val="24"/>
          <w:lang w:val="ru-RU"/>
        </w:rPr>
        <w:t>ациенты с атриовентрикулярной (АВ) блокадой II степени по Мобитцу, АВ-блокадой III степени, синоатриальной блокадой сердца или синдромом слабости синосового узла, если они не пользуются кардиостимулятором (см. раздел 4.4)</w:t>
      </w:r>
    </w:p>
    <w:p w14:paraId="720D6AEC" w14:textId="7571AC6C" w:rsidR="009C38EA" w:rsidRPr="00383DBC" w:rsidRDefault="009C38EA" w:rsidP="002B0543">
      <w:pPr>
        <w:tabs>
          <w:tab w:val="left" w:pos="426"/>
        </w:tabs>
        <w:jc w:val="both"/>
        <w:rPr>
          <w:rFonts w:eastAsia="Times New Roman" w:cs="Times New Roman"/>
          <w:sz w:val="24"/>
          <w:szCs w:val="24"/>
          <w:lang w:val="ru-RU"/>
        </w:rPr>
      </w:pPr>
      <w:r w:rsidRPr="00383DBC">
        <w:rPr>
          <w:rFonts w:eastAsia="Times New Roman" w:cs="Times New Roman"/>
          <w:sz w:val="24"/>
          <w:szCs w:val="24"/>
          <w:lang w:val="ru-RU"/>
        </w:rPr>
        <w:t xml:space="preserve">- </w:t>
      </w:r>
      <w:r w:rsidR="00551916">
        <w:rPr>
          <w:rFonts w:eastAsia="Times New Roman" w:cs="Times New Roman"/>
          <w:sz w:val="24"/>
          <w:szCs w:val="24"/>
          <w:lang w:val="ru-RU"/>
        </w:rPr>
        <w:t>п</w:t>
      </w:r>
      <w:r w:rsidRPr="00383DBC">
        <w:rPr>
          <w:rFonts w:eastAsia="Times New Roman" w:cs="Times New Roman"/>
          <w:sz w:val="24"/>
          <w:szCs w:val="24"/>
          <w:lang w:val="ru-RU"/>
        </w:rPr>
        <w:t>ациенты, обладающие гомозиготным генотипом CYP2C9*3 (CYP2C9*3*3) (плохой метаболизатор)</w:t>
      </w:r>
    </w:p>
    <w:p w14:paraId="4E65C69E" w14:textId="7D1E1E2A" w:rsidR="00A93F9E" w:rsidRPr="00383DBC" w:rsidRDefault="009C38EA" w:rsidP="002B0543">
      <w:pPr>
        <w:tabs>
          <w:tab w:val="left" w:pos="426"/>
        </w:tabs>
        <w:jc w:val="both"/>
        <w:rPr>
          <w:rFonts w:eastAsia="Times New Roman" w:cs="Times New Roman"/>
          <w:sz w:val="24"/>
          <w:szCs w:val="24"/>
          <w:lang w:val="ru-RU"/>
        </w:rPr>
      </w:pPr>
      <w:r w:rsidRPr="00383DBC">
        <w:rPr>
          <w:rFonts w:eastAsia="Times New Roman" w:cs="Times New Roman"/>
          <w:sz w:val="24"/>
          <w:szCs w:val="24"/>
          <w:lang w:val="ru-RU"/>
        </w:rPr>
        <w:t xml:space="preserve">- </w:t>
      </w:r>
      <w:r w:rsidR="00551916">
        <w:rPr>
          <w:rFonts w:eastAsia="Times New Roman" w:cs="Times New Roman"/>
          <w:sz w:val="24"/>
          <w:szCs w:val="24"/>
          <w:lang w:val="ru-RU"/>
        </w:rPr>
        <w:t>в</w:t>
      </w:r>
      <w:r w:rsidRPr="00383DBC">
        <w:rPr>
          <w:rFonts w:eastAsia="Times New Roman" w:cs="Times New Roman"/>
          <w:sz w:val="24"/>
          <w:szCs w:val="24"/>
          <w:lang w:val="ru-RU"/>
        </w:rPr>
        <w:t>о время беременности и у женщин детородного возраста, не использующих эффективные средства контрацепции (см. разделы 4.4 и 4.6)</w:t>
      </w:r>
    </w:p>
    <w:p w14:paraId="2F4A3AC0" w14:textId="77777777" w:rsidR="009C38EA" w:rsidRPr="00383DBC" w:rsidRDefault="009C38EA" w:rsidP="002B0543">
      <w:pPr>
        <w:tabs>
          <w:tab w:val="left" w:pos="426"/>
        </w:tabs>
        <w:jc w:val="both"/>
        <w:rPr>
          <w:rFonts w:eastAsia="SimSun" w:cs="Times New Roman"/>
          <w:sz w:val="24"/>
          <w:szCs w:val="24"/>
          <w:lang w:val="ru-RU" w:eastAsia="ru-RU"/>
        </w:rPr>
      </w:pPr>
    </w:p>
    <w:p w14:paraId="3181862C" w14:textId="4B27574A" w:rsidR="00A93F9E" w:rsidRPr="00383DBC" w:rsidRDefault="00A93F9E" w:rsidP="002B0543">
      <w:pPr>
        <w:jc w:val="both"/>
        <w:rPr>
          <w:rFonts w:eastAsia="Times New Roman" w:cs="Times New Roman"/>
          <w:b/>
          <w:sz w:val="24"/>
          <w:szCs w:val="24"/>
          <w:lang w:val="ru-RU" w:eastAsia="ru-RU"/>
        </w:rPr>
      </w:pPr>
      <w:bookmarkStart w:id="21" w:name="_i4i1kiXHW7SlL5OzTaLGdMBl9"/>
      <w:bookmarkEnd w:id="21"/>
      <w:r w:rsidRPr="00383DBC">
        <w:rPr>
          <w:rFonts w:eastAsia="Times New Roman" w:cs="Times New Roman"/>
          <w:b/>
          <w:sz w:val="24"/>
          <w:szCs w:val="24"/>
          <w:lang w:val="ru-RU" w:eastAsia="ru-RU"/>
        </w:rPr>
        <w:t xml:space="preserve">4.4 </w:t>
      </w:r>
      <w:r w:rsidRPr="00383DBC">
        <w:rPr>
          <w:rFonts w:eastAsia="Times New Roman" w:cs="Times New Roman"/>
          <w:b/>
          <w:sz w:val="24"/>
          <w:szCs w:val="24"/>
          <w:lang w:val="ru-RU"/>
        </w:rPr>
        <w:t xml:space="preserve">Особые указания и </w:t>
      </w:r>
      <w:r w:rsidRPr="00383DBC">
        <w:rPr>
          <w:rFonts w:eastAsia="Times New Roman" w:cs="Times New Roman"/>
          <w:b/>
          <w:sz w:val="24"/>
          <w:szCs w:val="24"/>
          <w:lang w:val="ru-RU" w:eastAsia="ru-RU"/>
        </w:rPr>
        <w:t>меры предосторожности при применении</w:t>
      </w:r>
    </w:p>
    <w:p w14:paraId="505E4E4A" w14:textId="77777777" w:rsidR="009C38EA" w:rsidRPr="009C38EA" w:rsidRDefault="009C38EA" w:rsidP="002B0543">
      <w:pPr>
        <w:jc w:val="both"/>
        <w:rPr>
          <w:rFonts w:eastAsia="Arial Unicode MS" w:cs="Times New Roman"/>
          <w:color w:val="000000"/>
          <w:sz w:val="24"/>
          <w:szCs w:val="24"/>
          <w:u w:val="single"/>
          <w:lang w:val="ru-RU" w:eastAsia="ko-KR"/>
        </w:rPr>
      </w:pPr>
      <w:bookmarkStart w:id="22" w:name="_i4i3Db2guaJUSdXUEaIJ4yLIm"/>
      <w:bookmarkEnd w:id="22"/>
      <w:r w:rsidRPr="009C38EA">
        <w:rPr>
          <w:rFonts w:eastAsia="Arial Unicode MS" w:cs="Times New Roman"/>
          <w:color w:val="000000"/>
          <w:sz w:val="24"/>
          <w:szCs w:val="24"/>
          <w:u w:val="single"/>
          <w:lang w:val="ru-RU" w:eastAsia="ko-KR"/>
        </w:rPr>
        <w:t>Инфекции</w:t>
      </w:r>
    </w:p>
    <w:p w14:paraId="4CEE4C7E" w14:textId="77777777" w:rsidR="009C38EA" w:rsidRPr="009C38EA" w:rsidRDefault="009C38EA" w:rsidP="002B0543">
      <w:pPr>
        <w:jc w:val="both"/>
        <w:rPr>
          <w:rFonts w:eastAsia="Arial Unicode MS" w:cs="Times New Roman"/>
          <w:i/>
          <w:iCs/>
          <w:color w:val="000000"/>
          <w:sz w:val="24"/>
          <w:szCs w:val="24"/>
          <w:lang w:val="ru-RU" w:eastAsia="ko-KR"/>
        </w:rPr>
      </w:pPr>
      <w:r w:rsidRPr="009C38EA">
        <w:rPr>
          <w:rFonts w:eastAsia="Arial Unicode MS" w:cs="Times New Roman"/>
          <w:i/>
          <w:iCs/>
          <w:color w:val="000000"/>
          <w:sz w:val="24"/>
          <w:szCs w:val="24"/>
          <w:lang w:val="ru-RU" w:eastAsia="ko-KR"/>
        </w:rPr>
        <w:t>Риск инфекций</w:t>
      </w:r>
    </w:p>
    <w:p w14:paraId="6CF94EEB" w14:textId="2E98AC29"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Основным фармакодинамическим эффектом сипонимода является дозозависимое снижение количества лимфоцит</w:t>
      </w:r>
      <w:r w:rsidR="003F426C">
        <w:rPr>
          <w:rFonts w:eastAsia="Arial Unicode MS" w:cs="Times New Roman"/>
          <w:color w:val="000000"/>
          <w:sz w:val="24"/>
          <w:szCs w:val="24"/>
          <w:lang w:val="ru-RU" w:eastAsia="ko-KR"/>
        </w:rPr>
        <w:t>ов в периферической крови до 20</w:t>
      </w:r>
      <w:r w:rsidR="003F426C">
        <w:rPr>
          <w:rFonts w:eastAsia="Arial Unicode MS" w:cs="Times New Roman"/>
          <w:color w:val="000000"/>
          <w:sz w:val="24"/>
          <w:szCs w:val="24"/>
          <w:lang w:val="ru-RU" w:eastAsia="ko-KR"/>
        </w:rPr>
        <w:noBreakHyphen/>
      </w:r>
      <w:r w:rsidRPr="009C38EA">
        <w:rPr>
          <w:rFonts w:eastAsia="Arial Unicode MS" w:cs="Times New Roman"/>
          <w:color w:val="000000"/>
          <w:sz w:val="24"/>
          <w:szCs w:val="24"/>
          <w:lang w:val="ru-RU" w:eastAsia="ko-KR"/>
        </w:rPr>
        <w:t>30</w:t>
      </w:r>
      <w:r w:rsidR="003F426C">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 от исходных значений. Такое действие обусловлено обратимой секвестрацией лимфоцитов в лимфоидных тканях (см. раздел 5.1).</w:t>
      </w:r>
    </w:p>
    <w:p w14:paraId="335582B6"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Влияние сипонимода на иммунную систему может повышать риск развития инфекций (см. раздел 4.8).</w:t>
      </w:r>
    </w:p>
    <w:p w14:paraId="728444F9" w14:textId="33B72FD2"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Перед началом лечения необходимо сдать свежий развернутый анализ крови (РАК) (т.е. в течение последних 6 месяцев или после прекращения предыдущей терапии). Кроме</w:t>
      </w:r>
      <w:r w:rsidR="003F426C">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того, рекомендуется проводить исследование развернутого анализа крови через 3</w:t>
      </w:r>
      <w:r w:rsidR="003F426C">
        <w:rPr>
          <w:rFonts w:eastAsia="Arial Unicode MS" w:cs="Times New Roman"/>
          <w:color w:val="000000"/>
          <w:sz w:val="24"/>
          <w:szCs w:val="24"/>
          <w:lang w:val="ru-RU" w:eastAsia="ko-KR"/>
        </w:rPr>
        <w:noBreakHyphen/>
      </w:r>
      <w:r w:rsidRPr="009C38EA">
        <w:rPr>
          <w:rFonts w:eastAsia="Arial Unicode MS" w:cs="Times New Roman"/>
          <w:color w:val="000000"/>
          <w:sz w:val="24"/>
          <w:szCs w:val="24"/>
          <w:lang w:val="ru-RU" w:eastAsia="ko-KR"/>
        </w:rPr>
        <w:t>4 месяца после начала лечения и в дальнейшем не реже одного раза в год, а также в случае появления признаков инфекции. Абсолютное число лимфоцитов &lt;0,2 х 10</w:t>
      </w:r>
      <w:r w:rsidRPr="009C38EA">
        <w:rPr>
          <w:rFonts w:eastAsia="Arial Unicode MS" w:cs="Times New Roman"/>
          <w:color w:val="000000"/>
          <w:sz w:val="24"/>
          <w:szCs w:val="24"/>
          <w:vertAlign w:val="superscript"/>
          <w:lang w:val="ru-RU" w:eastAsia="ko-KR"/>
        </w:rPr>
        <w:t>9</w:t>
      </w:r>
      <w:r w:rsidRPr="009C38EA">
        <w:rPr>
          <w:rFonts w:eastAsia="Arial Unicode MS" w:cs="Times New Roman"/>
          <w:color w:val="000000"/>
          <w:sz w:val="24"/>
          <w:szCs w:val="24"/>
          <w:lang w:val="ru-RU" w:eastAsia="ko-KR"/>
        </w:rPr>
        <w:t xml:space="preserve">/л, если оно подтверждено, должно привести к снижению дозы до 1 мг, поскольку в </w:t>
      </w:r>
      <w:r w:rsidRPr="009C38EA">
        <w:rPr>
          <w:rFonts w:eastAsia="Arial Unicode MS" w:cs="Times New Roman"/>
          <w:color w:val="000000"/>
          <w:sz w:val="24"/>
          <w:szCs w:val="24"/>
          <w:lang w:val="ru-RU" w:eastAsia="ko-KR"/>
        </w:rPr>
        <w:lastRenderedPageBreak/>
        <w:t>клинических исследованиях доза сипонимода была снижена у пациентов с абсолютным числом лимфоцитов &lt;0,2 х 10</w:t>
      </w:r>
      <w:r w:rsidRPr="009C38EA">
        <w:rPr>
          <w:rFonts w:eastAsia="Arial Unicode MS" w:cs="Times New Roman"/>
          <w:color w:val="000000"/>
          <w:sz w:val="24"/>
          <w:szCs w:val="24"/>
          <w:vertAlign w:val="superscript"/>
          <w:lang w:val="ru-RU" w:eastAsia="ko-KR"/>
        </w:rPr>
        <w:t>9</w:t>
      </w:r>
      <w:r w:rsidRPr="009C38EA">
        <w:rPr>
          <w:rFonts w:eastAsia="Arial Unicode MS" w:cs="Times New Roman"/>
          <w:color w:val="000000"/>
          <w:sz w:val="24"/>
          <w:szCs w:val="24"/>
          <w:lang w:val="ru-RU" w:eastAsia="ko-KR"/>
        </w:rPr>
        <w:t>/л. Подтвержденное абсолютное количество лимфоцитов &lt;0,2 х 10</w:t>
      </w:r>
      <w:r w:rsidRPr="009C38EA">
        <w:rPr>
          <w:rFonts w:eastAsia="Arial Unicode MS" w:cs="Times New Roman"/>
          <w:color w:val="000000"/>
          <w:sz w:val="24"/>
          <w:szCs w:val="24"/>
          <w:vertAlign w:val="superscript"/>
          <w:lang w:val="ru-RU" w:eastAsia="ko-KR"/>
        </w:rPr>
        <w:t>9</w:t>
      </w:r>
      <w:r w:rsidRPr="009C38EA">
        <w:rPr>
          <w:rFonts w:eastAsia="Arial Unicode MS" w:cs="Times New Roman"/>
          <w:color w:val="000000"/>
          <w:sz w:val="24"/>
          <w:szCs w:val="24"/>
          <w:lang w:val="ru-RU" w:eastAsia="ko-KR"/>
        </w:rPr>
        <w:t>/л у пациента, уже получающего сипонимод в дозе 1 мг, должно привести к прерыванию терапии сипонимодом до достижения уровня 0,6 х 10</w:t>
      </w:r>
      <w:r w:rsidRPr="009C38EA">
        <w:rPr>
          <w:rFonts w:eastAsia="Arial Unicode MS" w:cs="Times New Roman"/>
          <w:color w:val="000000"/>
          <w:sz w:val="24"/>
          <w:szCs w:val="24"/>
          <w:vertAlign w:val="superscript"/>
          <w:lang w:val="ru-RU" w:eastAsia="ko-KR"/>
        </w:rPr>
        <w:t>9</w:t>
      </w:r>
      <w:r w:rsidRPr="009C38EA">
        <w:rPr>
          <w:rFonts w:eastAsia="Arial Unicode MS" w:cs="Times New Roman"/>
          <w:color w:val="000000"/>
          <w:sz w:val="24"/>
          <w:szCs w:val="24"/>
          <w:lang w:val="ru-RU" w:eastAsia="ko-KR"/>
        </w:rPr>
        <w:t>/л, когда может быть рассмотрен вопрос о повторном назначении сипонимода.</w:t>
      </w:r>
    </w:p>
    <w:p w14:paraId="575701E3"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У пациентов с тяжелой активной инфекцией начало лечения должно быть отложено до ее исчезновения. Поскольку остаточные фармакодинамические эффекты, такие как снижение уровня лимфоцитов в периферической крови, могут сохраняться в течение 3-4 недель после прекращения лечения, необходимо сохранять бдительность в отношении инфекции в течение всего этого периода (см. ниже раздел «Прекращение терапии сипонимодом»).</w:t>
      </w:r>
    </w:p>
    <w:p w14:paraId="3FF03E00" w14:textId="747D3B96"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Пациентов следует проинструктировать о необходимости незамедлительно сообщать врачу о симптомах инфекции. У пациентов с симптомами инфекции во время терапии должны применяться эффективные диагностические и терапевтические стратегии. В</w:t>
      </w:r>
      <w:r w:rsidR="003F426C">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случае развития у пациента серьезной инфекции следует рассмотреть вопрос о приостановке лечения сипонимодом.</w:t>
      </w:r>
    </w:p>
    <w:p w14:paraId="7E876C59"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При применении сипонимода сообщалось о случаях криптококкового менингита (КМ). Пациенты с симптомами и признаками, соответствующими КМ, должны пройти оперативное диагностическое обследование. Лечение сипонимодом следует приостановить до исключения КМ. Если диагноз КМ установлен, необходимо начать соответствующее лечение.</w:t>
      </w:r>
    </w:p>
    <w:p w14:paraId="44389B80" w14:textId="72F925B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При применении сипонимода сообщалось о случаях прогрессирующей мультифокальной лейкоэнцефалопатии (ПМЛ) (см. раздел 4.8). Врачам следует быть бдительными при появлении клинических симптомов или результатов магнитно-резонансной томографии (МРТ), которые могут свидетельствовать о ПМЛ. При</w:t>
      </w:r>
      <w:r w:rsidR="003F426C">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подозрении на ПМЛ лечение сипонимодом следует приостановить до исключения ПМЛ. Если ПМЛ подтвердится, лечение сипонимодом следует прекратить.</w:t>
      </w:r>
      <w:r w:rsidR="003F426C">
        <w:rPr>
          <w:rFonts w:eastAsia="Arial Unicode MS" w:cs="Times New Roman"/>
          <w:color w:val="000000"/>
          <w:sz w:val="24"/>
          <w:szCs w:val="24"/>
          <w:lang w:val="ru-RU" w:eastAsia="ko-KR"/>
        </w:rPr>
        <w:t xml:space="preserve"> </w:t>
      </w:r>
      <w:r w:rsidRPr="009C38EA">
        <w:rPr>
          <w:rFonts w:eastAsia="Arial Unicode MS" w:cs="Times New Roman"/>
          <w:i/>
          <w:iCs/>
          <w:color w:val="000000"/>
          <w:sz w:val="24"/>
          <w:szCs w:val="24"/>
          <w:u w:val="single"/>
          <w:lang w:val="ru-RU" w:eastAsia="ko-KR"/>
        </w:rPr>
        <w:t>Герпесвирусная инфекция</w:t>
      </w:r>
    </w:p>
    <w:p w14:paraId="4AB24488"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Случаи герпесвирусной инфекции (включая случаи менингита или менингоэнцефалита, вызванные вирусами varicella zoster [VZV]) возникали при применении сипонимода в любое время во время лечения. При возникновении герпесного менингита или менингоэнцефалита прием сипонимода следует прекратить и назначить надлежащее лечение соответствующей инфекции. Пациенты без подтвержденного врачом анамнеза ветряной оспы или без документального подтверждения полного курса вакцинации против VZV должны быть проверены на наличие антител к VZV до начала приема сипонимода (см. ниже раздел «Вакцинация»).</w:t>
      </w:r>
    </w:p>
    <w:p w14:paraId="33FBF6BD" w14:textId="77777777" w:rsidR="009C38EA" w:rsidRPr="009C38EA" w:rsidRDefault="009C38EA" w:rsidP="002B0543">
      <w:pPr>
        <w:jc w:val="both"/>
        <w:rPr>
          <w:rFonts w:eastAsia="Arial Unicode MS" w:cs="Times New Roman"/>
          <w:i/>
          <w:iCs/>
          <w:color w:val="000000"/>
          <w:sz w:val="24"/>
          <w:szCs w:val="24"/>
          <w:u w:val="single"/>
          <w:lang w:val="ru-RU" w:eastAsia="ko-KR"/>
        </w:rPr>
      </w:pPr>
      <w:r w:rsidRPr="009C38EA">
        <w:rPr>
          <w:rFonts w:eastAsia="Arial Unicode MS" w:cs="Times New Roman"/>
          <w:i/>
          <w:iCs/>
          <w:color w:val="000000"/>
          <w:sz w:val="24"/>
          <w:szCs w:val="24"/>
          <w:u w:val="single"/>
          <w:lang w:val="ru-RU" w:eastAsia="ko-KR"/>
        </w:rPr>
        <w:t>Вакцинация</w:t>
      </w:r>
    </w:p>
    <w:p w14:paraId="643588A0"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Перед началом лечения сипонимодом пациентам с отрицательными антителами рекомендуется провести полный курс вакцинации против ветряной оспы, после чего начало лечения следует отложить на 1 месяц, чтобы дать возможность проявиться полному эффекту вакцинации (см. раздел 4.8).</w:t>
      </w:r>
    </w:p>
    <w:p w14:paraId="1BBE741C" w14:textId="7FE0F79E"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Следует избегать использования живых ослабленных вакцин во время приема сипонимода и в течение 4 недель после прекращения лечения (см. раздел 4.5).</w:t>
      </w:r>
      <w:r w:rsidR="003F426C">
        <w:rPr>
          <w:rFonts w:eastAsia="Arial Unicode MS" w:cs="Times New Roman"/>
          <w:color w:val="000000"/>
          <w:sz w:val="24"/>
          <w:szCs w:val="24"/>
          <w:lang w:val="ru-RU" w:eastAsia="ko-KR"/>
        </w:rPr>
        <w:t xml:space="preserve"> </w:t>
      </w:r>
      <w:r w:rsidRPr="009C38EA">
        <w:rPr>
          <w:rFonts w:eastAsia="Arial Unicode MS" w:cs="Times New Roman"/>
          <w:color w:val="000000"/>
          <w:sz w:val="24"/>
          <w:szCs w:val="24"/>
          <w:lang w:val="ru-RU" w:eastAsia="ko-KR"/>
        </w:rPr>
        <w:t>Другие</w:t>
      </w:r>
      <w:r w:rsidR="003F426C">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типы вакцин могут быть менее эффективными, если их вводить во время лечения сипонимодом (см. раздел 4.5). Рекомендуется прекратить лечение за 1 неделю до планируемой вакцинации и в течение 4 недель после нее. При прекращении терапии сипонимодом для проведения вакцинации следует учитывать возможность возвращения активности заболевания (см. ниже раздел «Прекращение терапии сипонимодом»).</w:t>
      </w:r>
    </w:p>
    <w:p w14:paraId="74791B07" w14:textId="77777777" w:rsidR="009C38EA" w:rsidRPr="009C38EA" w:rsidRDefault="009C38EA" w:rsidP="002B0543">
      <w:pPr>
        <w:jc w:val="both"/>
        <w:rPr>
          <w:rFonts w:eastAsia="Arial Unicode MS" w:cs="Times New Roman"/>
          <w:i/>
          <w:color w:val="000000"/>
          <w:sz w:val="24"/>
          <w:szCs w:val="24"/>
          <w:u w:val="single"/>
          <w:lang w:val="ru-RU" w:eastAsia="ko-KR"/>
        </w:rPr>
      </w:pPr>
      <w:r w:rsidRPr="009C38EA">
        <w:rPr>
          <w:rFonts w:eastAsia="Arial Unicode MS" w:cs="Times New Roman"/>
          <w:i/>
          <w:color w:val="000000"/>
          <w:sz w:val="24"/>
          <w:szCs w:val="24"/>
          <w:u w:val="single"/>
          <w:lang w:val="ru-RU" w:eastAsia="ko-KR"/>
        </w:rPr>
        <w:t>Сопутствующее лечение антинеопластическими, иммуномодулирующими или иммуносупрессивными препаратами</w:t>
      </w:r>
    </w:p>
    <w:p w14:paraId="650ED8F9"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lastRenderedPageBreak/>
        <w:t>Совместное назначение антинеопластических, иммуномодулирующих или иммуносупрессивных препаратов (включая кортикостероиды) следует проводить с осторожностью из-за риска дополнительного воздействия на иммунную систему при такой терапии (см. раздел 4.5).</w:t>
      </w:r>
    </w:p>
    <w:p w14:paraId="05A6A4FF" w14:textId="77777777" w:rsidR="009C38EA" w:rsidRPr="009C38EA" w:rsidRDefault="009C38EA" w:rsidP="002B0543">
      <w:pPr>
        <w:jc w:val="both"/>
        <w:rPr>
          <w:rFonts w:eastAsia="Arial Unicode MS" w:cs="Times New Roman"/>
          <w:i/>
          <w:color w:val="000000"/>
          <w:sz w:val="24"/>
          <w:szCs w:val="24"/>
          <w:u w:val="single"/>
          <w:lang w:val="ru-RU" w:eastAsia="ko-KR"/>
        </w:rPr>
      </w:pPr>
      <w:r w:rsidRPr="009C38EA">
        <w:rPr>
          <w:rFonts w:eastAsia="Arial Unicode MS" w:cs="Times New Roman"/>
          <w:i/>
          <w:color w:val="000000"/>
          <w:sz w:val="24"/>
          <w:szCs w:val="24"/>
          <w:u w:val="single"/>
          <w:lang w:val="ru-RU" w:eastAsia="ko-KR"/>
        </w:rPr>
        <w:t>Макулярный отек</w:t>
      </w:r>
    </w:p>
    <w:p w14:paraId="65148AA0" w14:textId="122259BD"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В клиническом исследовании III фазы (см. раздел 4.8) макулярный отек с визуальными симптомами или без них встречался чаще при приеме сипонимода (1,8</w:t>
      </w:r>
      <w:r w:rsidR="003F426C">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 чем при приеме плацебо (0,2</w:t>
      </w:r>
      <w:r w:rsidR="003F426C">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 Большинство случа</w:t>
      </w:r>
      <w:r w:rsidR="003F426C">
        <w:rPr>
          <w:rFonts w:eastAsia="Arial Unicode MS" w:cs="Times New Roman"/>
          <w:color w:val="000000"/>
          <w:sz w:val="24"/>
          <w:szCs w:val="24"/>
          <w:lang w:val="ru-RU" w:eastAsia="ko-KR"/>
        </w:rPr>
        <w:t>ев возникало в течение первых 3</w:t>
      </w:r>
      <w:r w:rsidR="003F426C">
        <w:rPr>
          <w:rFonts w:eastAsia="Arial Unicode MS" w:cs="Times New Roman"/>
          <w:color w:val="000000"/>
          <w:sz w:val="24"/>
          <w:szCs w:val="24"/>
          <w:lang w:val="ru-RU" w:eastAsia="ko-KR"/>
        </w:rPr>
        <w:noBreakHyphen/>
      </w:r>
      <w:r w:rsidRPr="009C38EA">
        <w:rPr>
          <w:rFonts w:eastAsia="Arial Unicode MS" w:cs="Times New Roman"/>
          <w:color w:val="000000"/>
          <w:sz w:val="24"/>
          <w:szCs w:val="24"/>
          <w:lang w:val="ru-RU" w:eastAsia="ko-KR"/>
        </w:rPr>
        <w:t>4 месяцев терапии. Поэтому рекомендуется проводить офтальмологическую оценку через 3</w:t>
      </w:r>
      <w:r w:rsidR="003F426C">
        <w:rPr>
          <w:rFonts w:eastAsia="Arial Unicode MS" w:cs="Times New Roman"/>
          <w:color w:val="000000"/>
          <w:sz w:val="24"/>
          <w:szCs w:val="24"/>
          <w:lang w:val="ru-RU" w:eastAsia="ko-KR"/>
        </w:rPr>
        <w:noBreakHyphen/>
      </w:r>
      <w:r w:rsidRPr="009C38EA">
        <w:rPr>
          <w:rFonts w:eastAsia="Arial Unicode MS" w:cs="Times New Roman"/>
          <w:color w:val="000000"/>
          <w:sz w:val="24"/>
          <w:szCs w:val="24"/>
          <w:lang w:val="ru-RU" w:eastAsia="ko-KR"/>
        </w:rPr>
        <w:t>4</w:t>
      </w:r>
      <w:r w:rsidR="003F426C">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месяца после начала лечения. Поскольку случаи макулярного отека наблюдались и при более длительном лечении, пациенты должны сообщать о нарушениях зрения в любое время, пока они принимают сипонимод, и рекомендуется провести оценку состояния глазного дна, включая макулу.</w:t>
      </w:r>
    </w:p>
    <w:p w14:paraId="6016FA9C"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Терапию сипонимодом не следует начинать у пациентов с макулярным отеком до его исчезновения.</w:t>
      </w:r>
    </w:p>
    <w:p w14:paraId="46C9AC07" w14:textId="5BB83B62"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Сипонимод следует с осторожностью применять у пациентов с сахарным диабетом, увеитом или основным/сопутствующим заболеванием сетчатки из-за потенциального повышения риска развития макулярного отека (см. раздел 4.8). Таким пациентам рекомендуется пройти офтальмологическое обследование до начала терапии и регулярно во время приема сипонимода для выявления макулярного отека.</w:t>
      </w:r>
      <w:r w:rsidR="004D6C84">
        <w:rPr>
          <w:rFonts w:eastAsia="Arial Unicode MS" w:cs="Times New Roman"/>
          <w:color w:val="000000"/>
          <w:sz w:val="24"/>
          <w:szCs w:val="24"/>
          <w:lang w:val="ru-RU" w:eastAsia="ko-KR"/>
        </w:rPr>
        <w:t xml:space="preserve"> </w:t>
      </w:r>
      <w:r w:rsidRPr="009C38EA">
        <w:rPr>
          <w:rFonts w:eastAsia="Arial Unicode MS" w:cs="Times New Roman"/>
          <w:color w:val="000000"/>
          <w:sz w:val="24"/>
          <w:szCs w:val="24"/>
          <w:lang w:val="ru-RU" w:eastAsia="ko-KR"/>
        </w:rPr>
        <w:t>Продолжение терапии сипонимодом у пациентов с макулярным отеком не изучалось. Рекомендуется прекратить прием сипонимода, если у пациента развивается макулярный отек. Решение о том, следует ли возобновить прием сипонимода после его исчезновения, должно приниматься с учетом потенциальной пользы и рисков для конкретного пациента.</w:t>
      </w:r>
    </w:p>
    <w:p w14:paraId="41D96E12"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i/>
          <w:color w:val="000000"/>
          <w:sz w:val="24"/>
          <w:szCs w:val="24"/>
          <w:u w:val="single"/>
          <w:lang w:val="ru-RU" w:eastAsia="ko-KR"/>
        </w:rPr>
        <w:t>Брадиаритмия</w:t>
      </w:r>
    </w:p>
    <w:p w14:paraId="0B2BACC4" w14:textId="59FBC290"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Начало лечения сипонимодом приводит к преходящему снижению частоты сердечных сокращений, а также может быть связано с задержкой атриовентрикулярной проводимости (см. разделы 4.8 и 5.1). Поэтому в начале лечения применяется схема титрования для достижения поддерживающей дозы на 6-й день (см. раздел 4.2).</w:t>
      </w:r>
      <w:r w:rsidR="003F426C">
        <w:rPr>
          <w:rFonts w:eastAsia="Arial Unicode MS" w:cs="Times New Roman"/>
          <w:color w:val="000000"/>
          <w:sz w:val="24"/>
          <w:szCs w:val="24"/>
          <w:lang w:val="ru-RU" w:eastAsia="ko-KR"/>
        </w:rPr>
        <w:t xml:space="preserve"> </w:t>
      </w:r>
      <w:r w:rsidRPr="009C38EA">
        <w:rPr>
          <w:rFonts w:eastAsia="Arial Unicode MS" w:cs="Times New Roman"/>
          <w:color w:val="000000"/>
          <w:sz w:val="24"/>
          <w:szCs w:val="24"/>
          <w:lang w:val="ru-RU" w:eastAsia="ko-KR"/>
        </w:rPr>
        <w:t>После</w:t>
      </w:r>
      <w:r w:rsidR="003F426C">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приема первой дозы титрования снижение частоты сердечных сокращений начинается в течение часа, а максимальное снижение в день 1 происходит примерно через 3</w:t>
      </w:r>
      <w:r w:rsidR="003F426C">
        <w:rPr>
          <w:rFonts w:eastAsia="Arial Unicode MS" w:cs="Times New Roman"/>
          <w:color w:val="000000"/>
          <w:sz w:val="24"/>
          <w:szCs w:val="24"/>
          <w:lang w:val="ru-RU" w:eastAsia="ko-KR"/>
        </w:rPr>
        <w:noBreakHyphen/>
      </w:r>
      <w:r w:rsidRPr="009C38EA">
        <w:rPr>
          <w:rFonts w:eastAsia="Arial Unicode MS" w:cs="Times New Roman"/>
          <w:color w:val="000000"/>
          <w:sz w:val="24"/>
          <w:szCs w:val="24"/>
          <w:lang w:val="ru-RU" w:eastAsia="ko-KR"/>
        </w:rPr>
        <w:t>4 часа. При дальнейшем повышении дозы в последующие дни наблюдается дальнейшее снижение частоты сердечных сокращений, максимальное снижение по сравнению с первым (исходным) днем достигается на 5</w:t>
      </w:r>
      <w:r w:rsidR="004D6C84">
        <w:rPr>
          <w:rFonts w:eastAsia="Arial Unicode MS" w:cs="Times New Roman"/>
          <w:color w:val="000000"/>
          <w:sz w:val="24"/>
          <w:szCs w:val="24"/>
          <w:lang w:val="ru-RU" w:eastAsia="ko-KR"/>
        </w:rPr>
        <w:noBreakHyphen/>
      </w:r>
      <w:r w:rsidRPr="009C38EA">
        <w:rPr>
          <w:rFonts w:eastAsia="Arial Unicode MS" w:cs="Times New Roman"/>
          <w:color w:val="000000"/>
          <w:sz w:val="24"/>
          <w:szCs w:val="24"/>
          <w:lang w:val="ru-RU" w:eastAsia="ko-KR"/>
        </w:rPr>
        <w:t>6 день. Наибольшее ежедневное снижение абсолютной среднечасовой частоты сердечных сокращений после приема дозы наблюдается в день 1, при этом</w:t>
      </w:r>
      <w:r w:rsidR="004D6C84">
        <w:rPr>
          <w:rFonts w:eastAsia="Arial Unicode MS" w:cs="Times New Roman"/>
          <w:color w:val="000000"/>
          <w:sz w:val="24"/>
          <w:szCs w:val="24"/>
          <w:lang w:val="ru-RU" w:eastAsia="ko-KR"/>
        </w:rPr>
        <w:t xml:space="preserve"> пульс снижается в среднем на 5</w:t>
      </w:r>
      <w:r w:rsidR="004D6C84">
        <w:rPr>
          <w:rFonts w:eastAsia="Arial Unicode MS" w:cs="Times New Roman"/>
          <w:color w:val="000000"/>
          <w:sz w:val="24"/>
          <w:szCs w:val="24"/>
          <w:lang w:val="ru-RU" w:eastAsia="ko-KR"/>
        </w:rPr>
        <w:noBreakHyphen/>
      </w:r>
      <w:r w:rsidRPr="009C38EA">
        <w:rPr>
          <w:rFonts w:eastAsia="Arial Unicode MS" w:cs="Times New Roman"/>
          <w:color w:val="000000"/>
          <w:sz w:val="24"/>
          <w:szCs w:val="24"/>
          <w:lang w:val="ru-RU" w:eastAsia="ko-KR"/>
        </w:rPr>
        <w:t>6</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ударов в минуту (уд/мин). В последующие дни снижение частоты сердечных сокращений после приема дозы менее выражено. При продолжении приема препарата частота сердечных сокращений начинает увеличиваться после 6-го дня и достигает уровня плацебо в течение 10 дней после начала лечения.</w:t>
      </w:r>
    </w:p>
    <w:p w14:paraId="258F9726" w14:textId="5602EEAF"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Частота сердечных сокращений ниже 40 уд/мин наблюдалась редко. Задержки</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атриовентрикулярной проводимости в большинстве случаев проявлялись в виде атриовентрикулярных (АВ) блокад первой степени (удлиненный интервал PR на электрокардиограмме). В клинических исследованиях АВ-блокады второй степени, обычно I типа Мобитца (Венкебаха), наблюдались менее чем у 1,7</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 пациентов на момент начала лечения.</w:t>
      </w:r>
    </w:p>
    <w:p w14:paraId="10A64C46"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 xml:space="preserve">Большинство брадиаритмических явлений или задержек атриовентрикулярной проводимости были бессимптомными, преходящими, исчезали в течение 24 часов и не требовали прекращения лечения. При возникновении симптомов после приема дозы (головокружение, несердечная боль в груди и головная боль) следует начать соответствующее клиническое лечение и продолжать наблюдение до устранения </w:t>
      </w:r>
      <w:r w:rsidRPr="009C38EA">
        <w:rPr>
          <w:rFonts w:eastAsia="Arial Unicode MS" w:cs="Times New Roman"/>
          <w:color w:val="000000"/>
          <w:sz w:val="24"/>
          <w:szCs w:val="24"/>
          <w:lang w:val="ru-RU" w:eastAsia="ko-KR"/>
        </w:rPr>
        <w:lastRenderedPageBreak/>
        <w:t>симптомов. При необходимости снижение частоты сердечных сокращений, вызванное сипонимодом, может быть отменено парентеральным введением доз атропина или изопреналина.</w:t>
      </w:r>
    </w:p>
    <w:p w14:paraId="56C8C723" w14:textId="77777777" w:rsidR="009C38EA" w:rsidRPr="009C38EA" w:rsidRDefault="009C38EA" w:rsidP="002B0543">
      <w:pPr>
        <w:jc w:val="both"/>
        <w:rPr>
          <w:rFonts w:eastAsia="Arial Unicode MS" w:cs="Times New Roman"/>
          <w:i/>
          <w:iCs/>
          <w:color w:val="000000"/>
          <w:sz w:val="24"/>
          <w:szCs w:val="24"/>
          <w:u w:val="single"/>
          <w:lang w:val="ru-RU" w:eastAsia="ko-KR"/>
        </w:rPr>
      </w:pPr>
      <w:r w:rsidRPr="009C38EA">
        <w:rPr>
          <w:rFonts w:eastAsia="Arial Unicode MS" w:cs="Times New Roman"/>
          <w:i/>
          <w:iCs/>
          <w:color w:val="000000"/>
          <w:sz w:val="24"/>
          <w:szCs w:val="24"/>
          <w:u w:val="single"/>
          <w:lang w:val="ru-RU" w:eastAsia="ko-KR"/>
        </w:rPr>
        <w:t xml:space="preserve">Рекомендации по началу лечения у пациентов с некоторыми ранее существовавшими сердечными заболеваниями </w:t>
      </w:r>
    </w:p>
    <w:p w14:paraId="6F8C5BE9"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В качестве меры предосторожности пациенты со следующими сердечными заболеваниями должны наблюдаться в течение 6 часов после приема первой дозы сипонимода для выявления признаков и симптомов брадикардии (см. также раздел 4.3):</w:t>
      </w:r>
    </w:p>
    <w:p w14:paraId="76AEDD72"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 синусовая брадикардия (частота сердечных сокращений &lt;55 ударов в минуту),</w:t>
      </w:r>
    </w:p>
    <w:p w14:paraId="2D725C85"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 АВ-блокада первой или второй степени [Мобитц тип I] в анамнезе,</w:t>
      </w:r>
    </w:p>
    <w:p w14:paraId="175428C5"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 инфаркт миокарда в анамнезе,</w:t>
      </w:r>
    </w:p>
    <w:p w14:paraId="12ACC7DD"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 сердечная недостаточность в анамнезе (пациенты с I и II классом по классификации NYHA).</w:t>
      </w:r>
    </w:p>
    <w:p w14:paraId="097C28E7"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У таких пациентов рекомендуется получить электрокардиограмму (ЭКГ) до начала приема препарата и в конце периода наблюдения. Если после приема дозы возникают симптомы брадиаритмии или симптомы, связанные с проводимостью, или если ЭКГ через 6 часов после приема дозы показывает новое начало АВ-блокады второй степени или выше или QTc &gt;500 мс, необходимо начать соответствующее лечение и продолжать наблюдение до устранения симптомов/показаний. Если требуется фармакологическое лечение, мониторинг следует продолжать в течение ночи и повторить 6-часовой мониторинг после приема второй дозы.</w:t>
      </w:r>
    </w:p>
    <w:p w14:paraId="7B39E18F"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В связи с риском серьезных нарушений сердечного ритма или выраженной брадикардии сипонимод</w:t>
      </w:r>
      <w:r w:rsidRPr="009C38EA">
        <w:rPr>
          <w:rFonts w:eastAsia="Arial Unicode MS" w:cs="Times New Roman"/>
          <w:b/>
          <w:bCs/>
          <w:color w:val="000000"/>
          <w:sz w:val="24"/>
          <w:szCs w:val="24"/>
          <w:lang w:val="ru-RU" w:eastAsia="ko-KR"/>
        </w:rPr>
        <w:t xml:space="preserve"> не следует применять</w:t>
      </w:r>
      <w:r w:rsidRPr="009C38EA">
        <w:rPr>
          <w:rFonts w:eastAsia="Arial Unicode MS" w:cs="Times New Roman"/>
          <w:color w:val="000000"/>
          <w:sz w:val="24"/>
          <w:szCs w:val="24"/>
          <w:lang w:val="ru-RU" w:eastAsia="ko-KR"/>
        </w:rPr>
        <w:t xml:space="preserve"> у пациентов со следующими заболеваниями:</w:t>
      </w:r>
    </w:p>
    <w:p w14:paraId="768F1B44"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 симптоматическая брадикардия или повторяющиеся обмороки в анамнезе,</w:t>
      </w:r>
    </w:p>
    <w:p w14:paraId="6B15E454"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 неконтролируемая гипертония или</w:t>
      </w:r>
    </w:p>
    <w:p w14:paraId="41E5689F"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 тяжелое неизлечимоее апноэ сна.</w:t>
      </w:r>
    </w:p>
    <w:p w14:paraId="18EB6A37"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У таких пациентов лечение сипонимодом следует рассматривать только в том случае, если ожидаемая польза перевешивает потенциальный риск, а перед началом лечения необходимо получить консультацию кардиолога, чтобы определить наиболее подходящую стратегию мониторинга.</w:t>
      </w:r>
    </w:p>
    <w:p w14:paraId="1A567A47"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Тщательное исследование интервала QT не выявило значительного прямого эффекта удлинения QT, и сипонимод не ассоциируется с аритмогенным потенциалом, связанным с удлинением QT. Начало лечения может привести к снижению частоты сердечных сокращений и непрямому удлинению интервала QT на этапе титрования. Сипонимод не изучался у пациентов со значительным удлинением интервала QT (QTc &gt;500 мс) или получавших лечение препаратами, удлиняющими интервал QT. Если лечение сипонимодом рассматривается у пациентов с уже существующим значительным удлинением QT или у тех, кто уже получает лечение препаратами, удлиняющими QT, с известными аритмогенными свойствами, перед началом лечения следует проконсультироваться с кардиологом, чтобы определить наиболее подходящую стратегию мониторинга во время начала лечения.</w:t>
      </w:r>
    </w:p>
    <w:p w14:paraId="029DB569"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Сипонимод не изучался у пациентов с аритмиями, требующими лечения антиаритмическими препаратами класса Ia (например, хинидином, прокаинамидом) или класса III (например, амиодароном, соталолом). Антиаритмические препараты класса Ia и класса III ассоциировались со случаями двунаправленной тахикардии у пациентов с брадикардией. Поскольку начало лечения приводит к снижению частоты сердечных сокращений, сипонимод не следует применять одновременно с этими препаратами в период начала лечения.</w:t>
      </w:r>
    </w:p>
    <w:p w14:paraId="774538C9"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 xml:space="preserve">Опыт применения у пациентов, получающих одновременную терапию блокаторами кальциевых каналов, снижающими частоту сердечных сокращений (такими как верапамил или дилтиазем), или другими препаратами, которые могут снижать частоту </w:t>
      </w:r>
      <w:r w:rsidRPr="009C38EA">
        <w:rPr>
          <w:rFonts w:eastAsia="Arial Unicode MS" w:cs="Times New Roman"/>
          <w:color w:val="000000"/>
          <w:sz w:val="24"/>
          <w:szCs w:val="24"/>
          <w:lang w:val="ru-RU" w:eastAsia="ko-KR"/>
        </w:rPr>
        <w:lastRenderedPageBreak/>
        <w:t>сердечных сокращений (например, ивабрадин или дигоксин), ограничен, поскольку эти препараты не изучались у пациентов, получающих сипонимод, в клинических исследованиях. Одновременное применение этих веществ в период начала лечения может быть связано с тяжелой брадикардией и блокадой сердца. Из-за потенциального дополнительного влияния на частоту сердечных сокращений лечение сипонимодом, как правило, не следует начинать у пациентов, которые одновременно принимают эти вещества (см. раздел 4.5). У таких пациентов лечение сипонимодом следует рассматривать только в том случае, если ожидаемая польза перевешивает потенциальный риск.</w:t>
      </w:r>
    </w:p>
    <w:p w14:paraId="65A949CC" w14:textId="1F6DE4C6"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Если во время начала лечения сипонимодом рассматривается возможность сопутствующего лечения одним из вышеперечисленных веществ, следует обратиться к кардиологу за консультацией относительно перехода на препарат, не снижающий сердечный ритм, или соответствующего мониторинга для начала лечения.</w:t>
      </w:r>
      <w:r w:rsidR="004D6C84">
        <w:rPr>
          <w:rFonts w:eastAsia="Arial Unicode MS" w:cs="Times New Roman"/>
          <w:color w:val="000000"/>
          <w:sz w:val="24"/>
          <w:szCs w:val="24"/>
          <w:lang w:val="ru-RU" w:eastAsia="ko-KR"/>
        </w:rPr>
        <w:t xml:space="preserve"> </w:t>
      </w:r>
      <w:r w:rsidRPr="009C38EA">
        <w:rPr>
          <w:rFonts w:eastAsia="Arial Unicode MS" w:cs="Times New Roman"/>
          <w:color w:val="000000"/>
          <w:sz w:val="24"/>
          <w:szCs w:val="24"/>
          <w:lang w:val="ru-RU" w:eastAsia="ko-KR"/>
        </w:rPr>
        <w:t>Брадиаритмические эффекты более выражены при добавлении сипонимода к терапии бета-блокаторами. У пациентов, получающих стабильную дозу бета-блокатора, перед началом лечения следует учитывать частоту сердечных сокращений в состоянии покоя. Если при хроническом лечении бета-блокаторами частота сердечных сокращений в состоянии покоя составляет &gt;50 ударов в минуту, сипонимод можно назначать. Если</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 xml:space="preserve">частота сердечных сокращений в состоянии покоя </w:t>
      </w:r>
      <w:r w:rsidRPr="009C38EA">
        <w:rPr>
          <w:rFonts w:eastAsia="Arial Unicode MS" w:cs="Times New Roman"/>
          <w:color w:val="000000"/>
          <w:sz w:val="24"/>
          <w:szCs w:val="24"/>
          <w:u w:val="single"/>
          <w:lang w:val="ru-RU" w:eastAsia="ko-KR"/>
        </w:rPr>
        <w:t>&lt;</w:t>
      </w:r>
      <w:r w:rsidRPr="009C38EA">
        <w:rPr>
          <w:rFonts w:eastAsia="Arial Unicode MS" w:cs="Times New Roman"/>
          <w:color w:val="000000"/>
          <w:sz w:val="24"/>
          <w:szCs w:val="24"/>
          <w:lang w:val="ru-RU" w:eastAsia="ko-KR"/>
        </w:rPr>
        <w:t>50 ударов в минуту, лечение бета-блокаторами следует прервать до тех пор, пока исходная частота сердечных сокращений не станет &gt;50 ударов в минуту. Затем можно начать лечение сипонимодом и возобновить лечение бета-блокатором после повышения дозы сипонимода до целевой поддерживающей дозы (см. раздел 4.5).</w:t>
      </w:r>
    </w:p>
    <w:p w14:paraId="2A81051B" w14:textId="77777777" w:rsidR="009C38EA" w:rsidRPr="009C38EA" w:rsidRDefault="009C38EA" w:rsidP="002B0543">
      <w:pPr>
        <w:jc w:val="both"/>
        <w:rPr>
          <w:rFonts w:eastAsia="Arial Unicode MS" w:cs="Times New Roman"/>
          <w:color w:val="000000"/>
          <w:sz w:val="24"/>
          <w:szCs w:val="24"/>
          <w:u w:val="single"/>
          <w:lang w:val="ru-RU" w:eastAsia="ko-KR"/>
        </w:rPr>
      </w:pPr>
      <w:r w:rsidRPr="009C38EA">
        <w:rPr>
          <w:rFonts w:eastAsia="Arial Unicode MS" w:cs="Times New Roman"/>
          <w:color w:val="000000"/>
          <w:sz w:val="24"/>
          <w:szCs w:val="24"/>
          <w:u w:val="single"/>
          <w:lang w:val="ru-RU" w:eastAsia="ko-KR"/>
        </w:rPr>
        <w:t>Функция печени</w:t>
      </w:r>
    </w:p>
    <w:p w14:paraId="315BCA3E" w14:textId="77777777" w:rsidR="004D6C84"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Перед началом лечения сипонимодом необходимо получить последние (т.е. в течение последних 6 месяцев) данные об уровне трансаминаз и билирубина.</w:t>
      </w:r>
    </w:p>
    <w:p w14:paraId="4B3F6741" w14:textId="4BC3094C"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В клиническом исследовании III фазы повышение уровня аланиновой аминотрансферазы (АЛТ) или аспартатаминотрансферазы (АСТ) в три раза выше верхней границы нормы (ВГН) наблюдалось у 5,6</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 пациентов, получавших сипонимод в дозе 2 мг, по сравнению с 1,5</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 пациентов, получавших плацебо (см. раздел 4.8). В клинических исследованиях лечение прекращалось, если повышение превышало 3-кратное увеличение и у пациента появлялись симптомы, связанные с печеночной функцией, или если повышение превышало 5-кратное увеличение. В</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клиническом исследовании III фазы 1</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 всех случаев прекращения лечения соответствовал одному из этих критериев.</w:t>
      </w:r>
    </w:p>
    <w:p w14:paraId="5A690EE4"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Пациентам с симптомами, указывающими на печеночную дисфункцию, следует проверить уровень печеночных ферментов и отменить прием сипонимода, если подтвердится значительное поражение печени. Возобновление терапии зависит от того, будет ли установлена другая причина повреждения печени, а также от того, насколько полезно для пациента возобновление терапии по сравнению с риском рецидива дисфункции печени.</w:t>
      </w:r>
    </w:p>
    <w:p w14:paraId="0B6D1859"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Хотя отсутствуют данные, подтверждающие, что пациенты с уже существующими заболеваниями печени подвергаются повышенному риску развития повышенных показателей функциональных проб печени при приеме сипонимода, следует соблюдать осторожность в отношении пациентов, имеющих в анамнезе значительные заболевания печени.</w:t>
      </w:r>
    </w:p>
    <w:p w14:paraId="734BC7CD" w14:textId="77777777" w:rsidR="009C38EA" w:rsidRPr="009C38EA" w:rsidRDefault="009C38EA" w:rsidP="002B0543">
      <w:pPr>
        <w:jc w:val="both"/>
        <w:rPr>
          <w:rFonts w:eastAsia="Arial Unicode MS" w:cs="Times New Roman"/>
          <w:color w:val="000000"/>
          <w:sz w:val="24"/>
          <w:szCs w:val="24"/>
          <w:u w:val="single"/>
          <w:lang w:val="ru-RU" w:eastAsia="ko-KR"/>
        </w:rPr>
      </w:pPr>
      <w:r w:rsidRPr="009C38EA">
        <w:rPr>
          <w:rFonts w:eastAsia="Arial Unicode MS" w:cs="Times New Roman"/>
          <w:color w:val="000000"/>
          <w:sz w:val="24"/>
          <w:szCs w:val="24"/>
          <w:u w:val="single"/>
          <w:lang w:val="ru-RU" w:eastAsia="ko-KR"/>
        </w:rPr>
        <w:t>Кожные новообразования</w:t>
      </w:r>
    </w:p>
    <w:p w14:paraId="3D3CE987"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У пациентов, получающих сипонимод, особенно у пациентов с более длительной продолжительностью лечения, сообщалось о базально-клеточной карциноме (БКК) и других кожных новообразованиях, включая сквамозно-клеточную карциному (СКК) (см. раздел 4.8).</w:t>
      </w:r>
    </w:p>
    <w:p w14:paraId="64D7A2CD" w14:textId="1EAA1EFF"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lastRenderedPageBreak/>
        <w:t>Осмотр кожи рекомендуется проводить всем пациентам в начале лечения, а затем каждые 6</w:t>
      </w:r>
      <w:r w:rsidR="004D6C84">
        <w:rPr>
          <w:rFonts w:eastAsia="Arial Unicode MS" w:cs="Times New Roman"/>
          <w:color w:val="000000"/>
          <w:sz w:val="24"/>
          <w:szCs w:val="24"/>
          <w:lang w:val="ru-RU" w:eastAsia="ko-KR"/>
        </w:rPr>
        <w:noBreakHyphen/>
      </w:r>
      <w:r w:rsidRPr="009C38EA">
        <w:rPr>
          <w:rFonts w:eastAsia="Arial Unicode MS" w:cs="Times New Roman"/>
          <w:color w:val="000000"/>
          <w:sz w:val="24"/>
          <w:szCs w:val="24"/>
          <w:lang w:val="ru-RU" w:eastAsia="ko-KR"/>
        </w:rPr>
        <w:t>12 месяцев с учетом клинической оценки. Тщательный осмотр кожи следует проводить при более длительном лечении. Пациентам следует рекомендовать незамедлительно сообщать врачу о любых подозрительных поражениях кожи. Пациентов, получающих сипонимод, следует предостеречь от воздействия солнечного света без защиты. Эти пациенты не должны получать сопутствующую фототерапию с УФ-В излучением или ПУВА-фотохимиотерапию.</w:t>
      </w:r>
    </w:p>
    <w:p w14:paraId="3457F2FF" w14:textId="713E2A5E" w:rsidR="009C38EA" w:rsidRPr="009C38EA" w:rsidRDefault="009C38EA" w:rsidP="002B0543">
      <w:pPr>
        <w:jc w:val="both"/>
        <w:rPr>
          <w:rFonts w:eastAsia="Arial Unicode MS" w:cs="Times New Roman"/>
          <w:color w:val="000000"/>
          <w:sz w:val="24"/>
          <w:szCs w:val="24"/>
          <w:u w:val="single"/>
          <w:lang w:val="ru-RU" w:eastAsia="ko-KR"/>
        </w:rPr>
      </w:pPr>
      <w:r w:rsidRPr="009C38EA">
        <w:rPr>
          <w:rFonts w:eastAsia="Arial Unicode MS" w:cs="Times New Roman"/>
          <w:color w:val="000000"/>
          <w:sz w:val="24"/>
          <w:szCs w:val="24"/>
          <w:u w:val="single"/>
          <w:lang w:val="ru-RU" w:eastAsia="ko-KR"/>
        </w:rPr>
        <w:t>Неожиданные неврологические или психиатрические симптомы/признаки</w:t>
      </w:r>
      <w:r w:rsidR="004D6C84">
        <w:rPr>
          <w:rFonts w:eastAsia="Arial Unicode MS" w:cs="Times New Roman"/>
          <w:color w:val="000000"/>
          <w:sz w:val="24"/>
          <w:szCs w:val="24"/>
          <w:u w:val="single"/>
          <w:lang w:val="ru-RU" w:eastAsia="ko-KR"/>
        </w:rPr>
        <w:t xml:space="preserve"> </w:t>
      </w:r>
      <w:r w:rsidRPr="009C38EA">
        <w:rPr>
          <w:rFonts w:eastAsia="Arial Unicode MS" w:cs="Times New Roman"/>
          <w:color w:val="000000"/>
          <w:sz w:val="24"/>
          <w:szCs w:val="24"/>
          <w:lang w:val="ru-RU" w:eastAsia="ko-KR"/>
        </w:rPr>
        <w:t>Редкие</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случаи синдрома задней обратимой энцефалопатии (СЗОЭ) были зарегистрированы при применении другого модулятора рецепторов сфингозин-1-фосфата (S1P). В отношении сипонимода, находящегося в программе разработки, таких случаев не зарегистрировано. Тем не менее, если у пациента, принимающего сипонимод, появятся неожиданные неврологические или психиатрические симптомы/признаки (например, когнитивные нарушения, изменения поведения, корковые нарушения зрения или любые другие неврологические корковые симптомы/признаки или любые симптомы/признаки, указывающие на повышение внутричерепного давления) или ускоренное неврологическое ухудшение, следует незамедлительно назначить полное физикальное и неврологическое обследование и рассмотреть возможность проведения МРТ.</w:t>
      </w:r>
    </w:p>
    <w:p w14:paraId="2D11EE90" w14:textId="77777777" w:rsidR="009C38EA" w:rsidRPr="009C38EA" w:rsidRDefault="009C38EA" w:rsidP="002B0543">
      <w:pPr>
        <w:jc w:val="both"/>
        <w:rPr>
          <w:rFonts w:eastAsia="Arial Unicode MS" w:cs="Times New Roman"/>
          <w:color w:val="000000"/>
          <w:sz w:val="24"/>
          <w:szCs w:val="24"/>
          <w:u w:val="single"/>
          <w:lang w:val="ru-RU" w:eastAsia="ko-KR"/>
        </w:rPr>
      </w:pPr>
      <w:r w:rsidRPr="009C38EA">
        <w:rPr>
          <w:rFonts w:eastAsia="Arial Unicode MS" w:cs="Times New Roman"/>
          <w:color w:val="000000"/>
          <w:sz w:val="24"/>
          <w:szCs w:val="24"/>
          <w:u w:val="single"/>
          <w:lang w:val="ru-RU" w:eastAsia="ko-KR"/>
        </w:rPr>
        <w:t>Предшествующее лечение иммуносупрессивными или иммуномодулирующими препаратами</w:t>
      </w:r>
    </w:p>
    <w:p w14:paraId="23F9E08F" w14:textId="1E0000CA"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При переходе с другой терапии, модифицирующей заболевание, необходимо учитывать период полураспада и ее способ действия, чтобы избежать дополнительного иммунного эффекта и в то же время свести к минимуму риск реактивации заболевания. Перед</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началом приема сипонимода рекомендуется провести анализ периферических лимфоцитов (АПЛ), чтобы убедиться, что иммунные эффекты предыдущей терапии (т.е. цитопения) устранены.</w:t>
      </w:r>
    </w:p>
    <w:p w14:paraId="4428840C"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В связи с особенностями и продолжительностью иммуноподавляющего действия алемтузумаба, описанными в информации о препарате, начинать лечение сипонимодом после алемтузумаба не рекомендуется.</w:t>
      </w:r>
    </w:p>
    <w:p w14:paraId="615E9FBE"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Как правило, прием сипонимода можно начинать сразу после прекращения приема бета-интерферона или глатирамера ацетата.</w:t>
      </w:r>
    </w:p>
    <w:p w14:paraId="06231EA2" w14:textId="77777777" w:rsidR="009C38EA" w:rsidRPr="009C38EA" w:rsidRDefault="009C38EA" w:rsidP="002B0543">
      <w:pPr>
        <w:jc w:val="both"/>
        <w:rPr>
          <w:rFonts w:eastAsia="Arial Unicode MS" w:cs="Times New Roman"/>
          <w:color w:val="000000"/>
          <w:sz w:val="24"/>
          <w:szCs w:val="24"/>
          <w:u w:val="single"/>
          <w:lang w:val="ru-RU" w:eastAsia="ko-KR"/>
        </w:rPr>
      </w:pPr>
      <w:r w:rsidRPr="009C38EA">
        <w:rPr>
          <w:rFonts w:eastAsia="Arial Unicode MS" w:cs="Times New Roman"/>
          <w:color w:val="000000"/>
          <w:sz w:val="24"/>
          <w:szCs w:val="24"/>
          <w:u w:val="single"/>
          <w:lang w:val="ru-RU" w:eastAsia="ko-KR"/>
        </w:rPr>
        <w:t>Влияние на артериальное давление</w:t>
      </w:r>
    </w:p>
    <w:p w14:paraId="0C5AE1D4"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Пациенты с гипертонией, неконтролируемой лекарственными препаратами, были исключены из участия в клинических исследованиях, поэтому при лечении сипонимодом пациентов с неконтролируемой гипертонией следует соблюдать особую осторожность.</w:t>
      </w:r>
    </w:p>
    <w:p w14:paraId="1596459B" w14:textId="69FE2F6C"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В клиническом исследовании III фазы у пациентов с с вторично-прогрессирующим рассеянным склерозом гипертензия чаще отмечалась у пациентов, принимавших сипонимод (12,6</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 чем у тех, кто получал п</w:t>
      </w:r>
      <w:r w:rsidR="004D6C84">
        <w:rPr>
          <w:rFonts w:eastAsia="Arial Unicode MS" w:cs="Times New Roman"/>
          <w:color w:val="000000"/>
          <w:sz w:val="24"/>
          <w:szCs w:val="24"/>
          <w:lang w:val="ru-RU" w:eastAsia="ko-KR"/>
        </w:rPr>
        <w:t>лацебо (9 </w:t>
      </w:r>
      <w:r w:rsidRPr="009C38EA">
        <w:rPr>
          <w:rFonts w:eastAsia="Arial Unicode MS" w:cs="Times New Roman"/>
          <w:color w:val="000000"/>
          <w:sz w:val="24"/>
          <w:szCs w:val="24"/>
          <w:lang w:val="ru-RU" w:eastAsia="ko-KR"/>
        </w:rPr>
        <w:t>%). Лечение сипонимодом приводило к повышению систолического и диастолического артериального давления, начиная с первых дней после начала лечения, достигая максимального эффекта примерно через 6 месяцев лечения (систолическое - 3 мм рт. ст., диастолическое - 1,2</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мм рт. ст.) и оставаясь стабильным в последующем. Эффект сохранялся при продолжении лечения.</w:t>
      </w:r>
    </w:p>
    <w:p w14:paraId="40F8F8A4"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Во время лечения сипонимодом следует регулярно контролировать артериальное давление.</w:t>
      </w:r>
    </w:p>
    <w:p w14:paraId="2A67814C" w14:textId="77777777" w:rsidR="009C38EA" w:rsidRPr="009C38EA" w:rsidRDefault="009C38EA" w:rsidP="002B0543">
      <w:pPr>
        <w:jc w:val="both"/>
        <w:rPr>
          <w:rFonts w:eastAsia="Arial Unicode MS" w:cs="Times New Roman"/>
          <w:color w:val="000000"/>
          <w:sz w:val="24"/>
          <w:szCs w:val="24"/>
          <w:u w:val="single"/>
          <w:lang w:val="ru-RU" w:eastAsia="ko-KR"/>
        </w:rPr>
      </w:pPr>
      <w:r w:rsidRPr="009C38EA">
        <w:rPr>
          <w:rFonts w:eastAsia="Arial Unicode MS" w:cs="Times New Roman"/>
          <w:color w:val="000000"/>
          <w:sz w:val="24"/>
          <w:szCs w:val="24"/>
          <w:u w:val="single"/>
          <w:lang w:val="ru-RU" w:eastAsia="ko-KR"/>
        </w:rPr>
        <w:t>Генотип CYP2C9</w:t>
      </w:r>
    </w:p>
    <w:p w14:paraId="5FD812A7" w14:textId="543CE582"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Перед началом лечения сипонимодом пациенты должны пройти генотипирование по CYP2C9 для определения статуса метаболизатора CYP2C9 (см. раздел 4.2). Пациенты, обладающие гомозиготным генотипом CYP2C9*3 (генотип CYP2C9*3*3: примерно 0,3</w:t>
      </w:r>
      <w:r w:rsidR="004D6C84">
        <w:rPr>
          <w:rFonts w:eastAsia="Arial Unicode MS" w:cs="Times New Roman"/>
          <w:color w:val="000000"/>
          <w:sz w:val="24"/>
          <w:szCs w:val="24"/>
          <w:lang w:val="ru-RU" w:eastAsia="ko-KR"/>
        </w:rPr>
        <w:noBreakHyphen/>
      </w:r>
      <w:r w:rsidRPr="009C38EA">
        <w:rPr>
          <w:rFonts w:eastAsia="Arial Unicode MS" w:cs="Times New Roman"/>
          <w:color w:val="000000"/>
          <w:sz w:val="24"/>
          <w:szCs w:val="24"/>
          <w:lang w:val="ru-RU" w:eastAsia="ko-KR"/>
        </w:rPr>
        <w:t>0,4</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 xml:space="preserve">% населения), не должны принимать сипонимод. Прием сипонимода такими </w:t>
      </w:r>
      <w:r w:rsidRPr="009C38EA">
        <w:rPr>
          <w:rFonts w:eastAsia="Arial Unicode MS" w:cs="Times New Roman"/>
          <w:color w:val="000000"/>
          <w:sz w:val="24"/>
          <w:szCs w:val="24"/>
          <w:lang w:val="ru-RU" w:eastAsia="ko-KR"/>
        </w:rPr>
        <w:lastRenderedPageBreak/>
        <w:t>пациентами приводит к значительному повышению уровня сипонимода в плазме крови. Рекомендуемая поддерживающая доза составляет 1 мг в сутки для пациентов с генотипом CYP2C9*2*3 (1,4-1,7% населения) и для пациентов с генотипом *1*3 (9</w:t>
      </w:r>
      <w:r w:rsidR="004D6C84">
        <w:rPr>
          <w:rFonts w:eastAsia="Arial Unicode MS" w:cs="Times New Roman"/>
          <w:color w:val="000000"/>
          <w:sz w:val="24"/>
          <w:szCs w:val="24"/>
          <w:lang w:val="ru-RU" w:eastAsia="ko-KR"/>
        </w:rPr>
        <w:noBreakHyphen/>
      </w:r>
      <w:r w:rsidRPr="009C38EA">
        <w:rPr>
          <w:rFonts w:eastAsia="Arial Unicode MS" w:cs="Times New Roman"/>
          <w:color w:val="000000"/>
          <w:sz w:val="24"/>
          <w:szCs w:val="24"/>
          <w:lang w:val="ru-RU" w:eastAsia="ko-KR"/>
        </w:rPr>
        <w:t>12</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населения), чтобы избежать повышенного воздействия сипонимода (см. разделы 4.2 и 5.2).</w:t>
      </w:r>
    </w:p>
    <w:p w14:paraId="7F508CE5" w14:textId="77777777" w:rsidR="009C38EA" w:rsidRPr="009C38EA" w:rsidRDefault="009C38EA" w:rsidP="002B0543">
      <w:pPr>
        <w:jc w:val="both"/>
        <w:rPr>
          <w:rFonts w:eastAsia="Arial Unicode MS" w:cs="Times New Roman"/>
          <w:color w:val="000000"/>
          <w:sz w:val="24"/>
          <w:szCs w:val="24"/>
          <w:u w:val="single"/>
          <w:lang w:val="ru-RU" w:eastAsia="ko-KR"/>
        </w:rPr>
      </w:pPr>
      <w:r w:rsidRPr="009C38EA">
        <w:rPr>
          <w:rFonts w:eastAsia="Arial Unicode MS" w:cs="Times New Roman"/>
          <w:color w:val="000000"/>
          <w:sz w:val="24"/>
          <w:szCs w:val="24"/>
          <w:u w:val="single"/>
          <w:lang w:val="ru-RU" w:eastAsia="ko-KR"/>
        </w:rPr>
        <w:t>Женщины детородного возраста</w:t>
      </w:r>
    </w:p>
    <w:p w14:paraId="503A338A"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В связи с риском для плода сипонимод противопоказан во время беременности и женщинам детородного возраста, не использующим эффективные средства контрацепции. Перед началом лечения женщины детородного возраста должны быть проинформированы о риске для плода, иметь отрицательный тест на беременность и использовать эффективные средства контрацепции во время лечения и в течение не менее 10 дней после прекращения терапии (см. разделы 4.3 и 4.6).</w:t>
      </w:r>
    </w:p>
    <w:p w14:paraId="63D802D5" w14:textId="77777777" w:rsidR="009C38EA" w:rsidRPr="009C38EA" w:rsidRDefault="009C38EA" w:rsidP="002B0543">
      <w:pPr>
        <w:jc w:val="both"/>
        <w:rPr>
          <w:rFonts w:eastAsia="Arial Unicode MS" w:cs="Times New Roman"/>
          <w:color w:val="000000"/>
          <w:sz w:val="24"/>
          <w:szCs w:val="24"/>
          <w:u w:val="single"/>
          <w:lang w:val="ru-RU" w:eastAsia="ko-KR"/>
        </w:rPr>
      </w:pPr>
      <w:r w:rsidRPr="009C38EA">
        <w:rPr>
          <w:rFonts w:eastAsia="Arial Unicode MS" w:cs="Times New Roman"/>
          <w:color w:val="000000"/>
          <w:sz w:val="24"/>
          <w:szCs w:val="24"/>
          <w:u w:val="single"/>
          <w:lang w:val="ru-RU" w:eastAsia="ko-KR"/>
        </w:rPr>
        <w:t>Прекращение терапии сипонимодом</w:t>
      </w:r>
    </w:p>
    <w:p w14:paraId="70F18D14" w14:textId="375B3FB1"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В редких случаях сообщалось о тяжелом обострении заболевания, включая рецидив болезни, после прекращения приема другого модулятора S1P-рецепторов. Следует</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учитывать возможность тяжелого обострения заболевания после прекращения лечения сипонимодом. Пациентов следует наблюдать для выявления соответствующих признаков возможного тяжелого обострения или возвращения высокой активности заболевания после прекращения приема сипонимода и при необходимости назначить соответствующее лечение.</w:t>
      </w:r>
    </w:p>
    <w:p w14:paraId="7DBE2116" w14:textId="252694FF"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После прекращения терапии сипонимодом он остается в крови до 10 дней. Начало</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приема других препаратов в течение этого периода приведет к сопутствующему воздействию сипонимода.</w:t>
      </w:r>
    </w:p>
    <w:p w14:paraId="02084DB2" w14:textId="59141963"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У подавляющего большинства (90</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 пациентов с вторично-прогрессирующим рассеянным склерозом количество лимфоцитов приходит в норму в течение 10 дней после прекращения терапии. Однако остаточные фармакодинамические эффекты, такие как снижение количества периферических лимфоцитов, могут сохр</w:t>
      </w:r>
      <w:r w:rsidR="004D6C84">
        <w:rPr>
          <w:rFonts w:eastAsia="Arial Unicode MS" w:cs="Times New Roman"/>
          <w:color w:val="000000"/>
          <w:sz w:val="24"/>
          <w:szCs w:val="24"/>
          <w:lang w:val="ru-RU" w:eastAsia="ko-KR"/>
        </w:rPr>
        <w:t>аняться в течение 3</w:t>
      </w:r>
      <w:r w:rsidR="004D6C84">
        <w:rPr>
          <w:rFonts w:eastAsia="Arial Unicode MS" w:cs="Times New Roman"/>
          <w:color w:val="000000"/>
          <w:sz w:val="24"/>
          <w:szCs w:val="24"/>
          <w:lang w:val="ru-RU" w:eastAsia="ko-KR"/>
        </w:rPr>
        <w:noBreakHyphen/>
      </w:r>
      <w:r w:rsidRPr="009C38EA">
        <w:rPr>
          <w:rFonts w:eastAsia="Arial Unicode MS" w:cs="Times New Roman"/>
          <w:color w:val="000000"/>
          <w:sz w:val="24"/>
          <w:szCs w:val="24"/>
          <w:lang w:val="ru-RU" w:eastAsia="ko-KR"/>
        </w:rPr>
        <w:t>4 недель после приема последней дозы. Применение иммунодепрессантов в течение этого периода может привести к дополнительному воздействию на иммунную систему, поэтому следует соб</w:t>
      </w:r>
      <w:r w:rsidR="004D6C84">
        <w:rPr>
          <w:rFonts w:eastAsia="Arial Unicode MS" w:cs="Times New Roman"/>
          <w:color w:val="000000"/>
          <w:sz w:val="24"/>
          <w:szCs w:val="24"/>
          <w:lang w:val="ru-RU" w:eastAsia="ko-KR"/>
        </w:rPr>
        <w:t>людать осторожность в течение 3</w:t>
      </w:r>
      <w:r w:rsidR="004D6C84">
        <w:rPr>
          <w:rFonts w:eastAsia="Arial Unicode MS" w:cs="Times New Roman"/>
          <w:color w:val="000000"/>
          <w:sz w:val="24"/>
          <w:szCs w:val="24"/>
          <w:lang w:val="ru-RU" w:eastAsia="ko-KR"/>
        </w:rPr>
        <w:noBreakHyphen/>
      </w:r>
      <w:r w:rsidRPr="009C38EA">
        <w:rPr>
          <w:rFonts w:eastAsia="Arial Unicode MS" w:cs="Times New Roman"/>
          <w:color w:val="000000"/>
          <w:sz w:val="24"/>
          <w:szCs w:val="24"/>
          <w:lang w:val="ru-RU" w:eastAsia="ko-KR"/>
        </w:rPr>
        <w:t>4 недель после приема последней дозы.</w:t>
      </w:r>
    </w:p>
    <w:p w14:paraId="13994D28" w14:textId="77777777" w:rsidR="009C38EA" w:rsidRPr="009C38EA" w:rsidRDefault="009C38EA" w:rsidP="002B0543">
      <w:pPr>
        <w:jc w:val="both"/>
        <w:rPr>
          <w:rFonts w:eastAsia="Arial Unicode MS" w:cs="Times New Roman"/>
          <w:color w:val="000000"/>
          <w:sz w:val="24"/>
          <w:szCs w:val="24"/>
          <w:u w:val="single"/>
          <w:lang w:val="ru-RU" w:eastAsia="ko-KR"/>
        </w:rPr>
      </w:pPr>
      <w:r w:rsidRPr="009C38EA">
        <w:rPr>
          <w:rFonts w:eastAsia="Arial Unicode MS" w:cs="Times New Roman"/>
          <w:color w:val="000000"/>
          <w:sz w:val="24"/>
          <w:szCs w:val="24"/>
          <w:u w:val="single"/>
          <w:lang w:val="ru-RU" w:eastAsia="ko-KR"/>
        </w:rPr>
        <w:t>Вмешательство в гематологические исследования</w:t>
      </w:r>
    </w:p>
    <w:p w14:paraId="7B31A071" w14:textId="7E1D8841"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 xml:space="preserve">Поскольку сипонимод снижает количество лимфоцитов в крови за счет перераспределения во вторичных лимфоидных органах, количество лимфоцитов в периферической крови нельзя использовать для оценки статуса подмножества лимфоцитов у пациента, получающего сипонимод. Лабораторные тесты с использованием циркулирующих мононуклеарных клеток требуют большего объема крови из-за снижения количества циркулирующих лимфоцитов. </w:t>
      </w:r>
      <w:r w:rsidRPr="009C38EA">
        <w:rPr>
          <w:rFonts w:eastAsia="Arial Unicode MS" w:cs="Times New Roman"/>
          <w:color w:val="000000"/>
          <w:sz w:val="24"/>
          <w:szCs w:val="24"/>
          <w:u w:val="single"/>
          <w:lang w:val="ru-RU" w:eastAsia="ko-KR"/>
        </w:rPr>
        <w:t>Вспомогательные</w:t>
      </w:r>
      <w:r w:rsidR="004D6C84">
        <w:rPr>
          <w:rFonts w:eastAsia="Arial Unicode MS" w:cs="Times New Roman"/>
          <w:color w:val="000000"/>
          <w:sz w:val="24"/>
          <w:szCs w:val="24"/>
          <w:u w:val="single"/>
          <w:lang w:val="ru-RU" w:eastAsia="ko-KR"/>
        </w:rPr>
        <w:t> </w:t>
      </w:r>
      <w:r w:rsidRPr="009C38EA">
        <w:rPr>
          <w:rFonts w:eastAsia="Arial Unicode MS" w:cs="Times New Roman"/>
          <w:color w:val="000000"/>
          <w:sz w:val="24"/>
          <w:szCs w:val="24"/>
          <w:u w:val="single"/>
          <w:lang w:val="ru-RU" w:eastAsia="ko-KR"/>
        </w:rPr>
        <w:t>вещества</w:t>
      </w:r>
    </w:p>
    <w:p w14:paraId="39E506A3"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Таблетки содержат соевый лецитин. Пациентам с повышенной чувствительностью к арахису или сое не следует принимать сипонимод (см. раздел 4.3).</w:t>
      </w:r>
    </w:p>
    <w:p w14:paraId="223C7129"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Таблетки содержат лактозу. Пациенты с редкими наследственными проблемами непереносимости галактозы, полного дефицита лактазы или глюкозо-галактозной мальабсорбции не должны принимать этот препарат.</w:t>
      </w:r>
    </w:p>
    <w:p w14:paraId="4C07F031" w14:textId="1369CCD2" w:rsidR="00A93F9E" w:rsidRPr="00383DBC" w:rsidRDefault="00A93F9E" w:rsidP="002B0543">
      <w:pPr>
        <w:jc w:val="both"/>
        <w:rPr>
          <w:rFonts w:eastAsia="MS Mincho" w:cs="Times New Roman"/>
          <w:sz w:val="24"/>
          <w:szCs w:val="24"/>
          <w:highlight w:val="yellow"/>
          <w:lang w:val="ru-RU"/>
        </w:rPr>
      </w:pPr>
    </w:p>
    <w:p w14:paraId="690A7887" w14:textId="30588789" w:rsidR="00A93F9E" w:rsidRPr="00383DBC" w:rsidRDefault="00A93F9E" w:rsidP="002B0543">
      <w:pPr>
        <w:jc w:val="both"/>
        <w:rPr>
          <w:rFonts w:eastAsia="Times New Roman" w:cs="Times New Roman"/>
          <w:b/>
          <w:sz w:val="24"/>
          <w:szCs w:val="24"/>
          <w:lang w:val="ru-RU" w:eastAsia="ru-RU"/>
        </w:rPr>
      </w:pPr>
      <w:bookmarkStart w:id="23" w:name="_i4i608SkrnfeHeQUrZDmIEupE"/>
      <w:bookmarkEnd w:id="23"/>
      <w:r w:rsidRPr="00383DBC">
        <w:rPr>
          <w:rFonts w:eastAsia="Times New Roman" w:cs="Times New Roman"/>
          <w:b/>
          <w:sz w:val="24"/>
          <w:szCs w:val="24"/>
          <w:lang w:val="ru-RU" w:eastAsia="ru-RU"/>
        </w:rPr>
        <w:t>4.5 Взаимодействия с другими лекарственными препаратами и другие виды взаимодействий</w:t>
      </w:r>
      <w:bookmarkStart w:id="24" w:name="_i4i61ufKNpk8OPAHp1RiUl0aL"/>
      <w:bookmarkEnd w:id="24"/>
    </w:p>
    <w:p w14:paraId="221804DB" w14:textId="1DAFCDB1" w:rsidR="009C38EA" w:rsidRPr="009C38EA" w:rsidRDefault="009C38EA" w:rsidP="002B0543">
      <w:pPr>
        <w:jc w:val="both"/>
        <w:rPr>
          <w:rFonts w:eastAsia="Arial Unicode MS" w:cs="Times New Roman"/>
          <w:color w:val="000000"/>
          <w:sz w:val="24"/>
          <w:szCs w:val="24"/>
          <w:u w:val="single"/>
          <w:lang w:val="ru-RU" w:eastAsia="ko-KR"/>
        </w:rPr>
      </w:pPr>
      <w:r w:rsidRPr="009C38EA">
        <w:rPr>
          <w:rFonts w:eastAsia="Arial Unicode MS" w:cs="Times New Roman"/>
          <w:color w:val="000000"/>
          <w:sz w:val="24"/>
          <w:szCs w:val="24"/>
          <w:u w:val="single"/>
          <w:lang w:val="ru-RU" w:eastAsia="ko-KR"/>
        </w:rPr>
        <w:t>Антинеопластическая, иммуномодулирующая или иммуносупрессивная терапия</w:t>
      </w:r>
      <w:r w:rsidR="004D6C84">
        <w:rPr>
          <w:rFonts w:eastAsia="Arial Unicode MS" w:cs="Times New Roman"/>
          <w:color w:val="000000"/>
          <w:sz w:val="24"/>
          <w:szCs w:val="24"/>
          <w:u w:val="single"/>
          <w:lang w:val="ru-RU" w:eastAsia="ko-KR"/>
        </w:rPr>
        <w:t xml:space="preserve"> </w:t>
      </w:r>
      <w:r w:rsidRPr="009C38EA">
        <w:rPr>
          <w:rFonts w:eastAsia="Arial Unicode MS" w:cs="Times New Roman"/>
          <w:color w:val="000000"/>
          <w:sz w:val="24"/>
          <w:szCs w:val="24"/>
          <w:lang w:val="ru-RU" w:eastAsia="ko-KR"/>
        </w:rPr>
        <w:t xml:space="preserve">Сипонимод не изучался в комбинации с антинеопластическими, иммуномодулирующими или иммуносупрессивными препаратами. Следует соблюдать осторожность при одновременном приеме из-за риска возникновения дополнительных </w:t>
      </w:r>
      <w:r w:rsidRPr="009C38EA">
        <w:rPr>
          <w:rFonts w:eastAsia="Arial Unicode MS" w:cs="Times New Roman"/>
          <w:color w:val="000000"/>
          <w:sz w:val="24"/>
          <w:szCs w:val="24"/>
          <w:lang w:val="ru-RU" w:eastAsia="ko-KR"/>
        </w:rPr>
        <w:lastRenderedPageBreak/>
        <w:t>иммунных воздействий во время такой терапии и в течение нескольких недель после прекращения приема любого из этих препаратов (см. раздел 4.4).</w:t>
      </w:r>
    </w:p>
    <w:p w14:paraId="0E7F15E3"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В связи с особенностями и продолжительностью иммуноподавляющего действия алемтузумаба, описанными в информации о препарате, начинать лечение сипонимодом после алемтузумаба не рекомендуется, если только польза от лечения явно не перевешивает риски для конкретного пациента (см. раздел 4.4).</w:t>
      </w:r>
    </w:p>
    <w:p w14:paraId="3C774E27" w14:textId="77777777" w:rsidR="009C38EA" w:rsidRPr="009C38EA" w:rsidRDefault="009C38EA" w:rsidP="002B0543">
      <w:pPr>
        <w:jc w:val="both"/>
        <w:rPr>
          <w:rFonts w:eastAsia="Arial Unicode MS" w:cs="Times New Roman"/>
          <w:color w:val="000000"/>
          <w:sz w:val="24"/>
          <w:szCs w:val="24"/>
          <w:u w:val="single"/>
          <w:lang w:val="ru-RU" w:eastAsia="ko-KR"/>
        </w:rPr>
      </w:pPr>
      <w:r w:rsidRPr="009C38EA">
        <w:rPr>
          <w:rFonts w:eastAsia="Arial Unicode MS" w:cs="Times New Roman"/>
          <w:color w:val="000000"/>
          <w:sz w:val="24"/>
          <w:szCs w:val="24"/>
          <w:u w:val="single"/>
          <w:lang w:val="ru-RU" w:eastAsia="ko-KR"/>
        </w:rPr>
        <w:t>Антиаритмические препараты, препараты с удлинением интервала QT, препараты, которые могут снижать частоту сердечных сокращений</w:t>
      </w:r>
    </w:p>
    <w:p w14:paraId="47FDF9D8"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В период начала лечения сипонимод не следует принимать одновременно с препаратами класса Ia (например, хинидин, прокаинамид) или класса III (например, амиодарон, сотала). амиодарон, соталол) антиаритмические препараты, препараты с удлинением интервала QT и известными аритмогенными свойствами, блокаторы кальциевых каналов, снижающие частоту сердечных сокращений (например, верапамил или дилтиазем), или другие препараты, которые могут снижать частоту сердечных сокращений (например, ивабрадин или дигоксин), из-за потенциального дополнительного влияния на частоту сердечных сокращений (см. раздел 4.4). Данные о сопутствующем применении этих лекарственных средств с сипонимодом отсутствуют. Одновременное применение этих препаратов в период начала лечения может быть связано с тяжелой брадикардией и блокадой сердца. Из-за потенциального дополнительного влияния на частоту сердечных сокращений лечение сипонимодом, как правило, не следует начинать у пациентов, которые одновременно принимают эти препараты (см. раздел 4.4). Если рассматривается возможность лечения сипонимодом, следует обратиться к кардиологу за советом относительно перехода на препараты, не снижающие частоту сердечных сокращений, или соответствующего мониторинга для начала лечения.</w:t>
      </w:r>
    </w:p>
    <w:p w14:paraId="7566BED7" w14:textId="77777777" w:rsidR="009C38EA" w:rsidRPr="009C38EA" w:rsidRDefault="009C38EA" w:rsidP="002B0543">
      <w:pPr>
        <w:jc w:val="both"/>
        <w:rPr>
          <w:rFonts w:eastAsia="Arial Unicode MS" w:cs="Times New Roman"/>
          <w:color w:val="000000"/>
          <w:sz w:val="24"/>
          <w:szCs w:val="24"/>
          <w:u w:val="single"/>
          <w:lang w:val="ru-RU" w:eastAsia="ko-KR"/>
        </w:rPr>
      </w:pPr>
      <w:r w:rsidRPr="009C38EA">
        <w:rPr>
          <w:rFonts w:eastAsia="Arial Unicode MS" w:cs="Times New Roman"/>
          <w:color w:val="000000"/>
          <w:sz w:val="24"/>
          <w:szCs w:val="24"/>
          <w:u w:val="single"/>
          <w:lang w:val="ru-RU" w:eastAsia="ko-KR"/>
        </w:rPr>
        <w:t>Бета-блокаторы</w:t>
      </w:r>
    </w:p>
    <w:p w14:paraId="01B4231D"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Следует соблюдать осторожность при назначении сипонимода пациентам, принимающим бета-блокаторы, из-за дополнительного влияния на снижение частоты сердечных сокращений (см. раздел 4.4). Лечение бета-блокаторами можно начинать у пациентов, получающих стабильные дозы сипонимода.</w:t>
      </w:r>
    </w:p>
    <w:p w14:paraId="76B3BD50"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Отрицательный хронотропный эффект совместного приема сипонимода и пропранолола рассматривался в специальном исследовании фармакодинамики/безопасности. Добавление пропранолола к фармакокинетическому/фармакодинамическому устойчивому состоянию сипонимода имело менее выраженный отрицательный хронотропный эффект (менее значительный, чем суммарный) по сравнению с добавлением сипонимода к фармакокинетическому/фармакодинамическому устойчивому состоянию пропранолола (суммарный эффект ЧСС).</w:t>
      </w:r>
    </w:p>
    <w:p w14:paraId="6872A597" w14:textId="77777777" w:rsidR="009C38EA" w:rsidRPr="009C38EA" w:rsidRDefault="009C38EA" w:rsidP="002B0543">
      <w:pPr>
        <w:jc w:val="both"/>
        <w:rPr>
          <w:rFonts w:eastAsia="Arial Unicode MS" w:cs="Times New Roman"/>
          <w:color w:val="000000"/>
          <w:sz w:val="24"/>
          <w:szCs w:val="24"/>
          <w:u w:val="single"/>
          <w:lang w:val="ru-RU" w:eastAsia="ko-KR"/>
        </w:rPr>
      </w:pPr>
      <w:r w:rsidRPr="009C38EA">
        <w:rPr>
          <w:rFonts w:eastAsia="Arial Unicode MS" w:cs="Times New Roman"/>
          <w:color w:val="000000"/>
          <w:sz w:val="24"/>
          <w:szCs w:val="24"/>
          <w:u w:val="single"/>
          <w:lang w:val="ru-RU" w:eastAsia="ko-KR"/>
        </w:rPr>
        <w:t>Вакцинация</w:t>
      </w:r>
    </w:p>
    <w:p w14:paraId="1147889F"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Использование живых ослабленных вакцин может быть связано с риском инфекции, поэтому следует избегать их применения во время лечения сипонимодом и в течение 4 недель после лечения (см. раздел 4.4).</w:t>
      </w:r>
    </w:p>
    <w:p w14:paraId="0050EB6C" w14:textId="174BBECC"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Во время и в течение 4 недель после лечения сипонимодом вакцинация может быть менее эффективной. Считается, что эффективность вакцинации не снижается, если лечение сипонимодом приостановить за 1 неделю до вакцинации до 4 недель после вакцинации. В специальном исследовании здоровых добровольцев I фазы одновременное лечение сипонимодом с противогриппозной вакциной или более короткая пауза в лечении (от 10 дней до 14 дней после вакцинации) показали более низкую частоту о</w:t>
      </w:r>
      <w:r w:rsidR="004D6C84">
        <w:rPr>
          <w:rFonts w:eastAsia="Arial Unicode MS" w:cs="Times New Roman"/>
          <w:color w:val="000000"/>
          <w:sz w:val="24"/>
          <w:szCs w:val="24"/>
          <w:lang w:val="ru-RU" w:eastAsia="ko-KR"/>
        </w:rPr>
        <w:t>тветных реакций (примерно на 15</w:t>
      </w:r>
      <w:r w:rsidR="004D6C84">
        <w:rPr>
          <w:rFonts w:eastAsia="Arial Unicode MS" w:cs="Times New Roman"/>
          <w:color w:val="000000"/>
          <w:sz w:val="24"/>
          <w:szCs w:val="24"/>
          <w:lang w:val="ru-RU" w:eastAsia="ko-KR"/>
        </w:rPr>
        <w:noBreakHyphen/>
      </w:r>
      <w:r w:rsidRPr="009C38EA">
        <w:rPr>
          <w:rFonts w:eastAsia="Arial Unicode MS" w:cs="Times New Roman"/>
          <w:color w:val="000000"/>
          <w:sz w:val="24"/>
          <w:szCs w:val="24"/>
          <w:lang w:val="ru-RU" w:eastAsia="ko-KR"/>
        </w:rPr>
        <w:t>30</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 ниже) по сравнению с плацебо, в то время как эффективность вакцинации PPV 23 не была снижена при одновременном лечении сипонимодом (см. раздел 4.4).</w:t>
      </w:r>
    </w:p>
    <w:p w14:paraId="0D7C5459" w14:textId="3D6E2219" w:rsidR="009C38EA" w:rsidRPr="009C38EA" w:rsidRDefault="009C38EA" w:rsidP="002B0543">
      <w:pPr>
        <w:jc w:val="both"/>
        <w:rPr>
          <w:rFonts w:eastAsia="Arial Unicode MS" w:cs="Times New Roman"/>
          <w:color w:val="000000"/>
          <w:sz w:val="24"/>
          <w:szCs w:val="24"/>
          <w:u w:val="single"/>
          <w:lang w:val="ru-RU" w:eastAsia="ko-KR"/>
        </w:rPr>
      </w:pPr>
      <w:r w:rsidRPr="009C38EA">
        <w:rPr>
          <w:rFonts w:eastAsia="Arial Unicode MS" w:cs="Times New Roman"/>
          <w:color w:val="000000"/>
          <w:sz w:val="24"/>
          <w:szCs w:val="24"/>
          <w:u w:val="single"/>
          <w:lang w:val="ru-RU" w:eastAsia="ko-KR"/>
        </w:rPr>
        <w:lastRenderedPageBreak/>
        <w:t>Возможность влияния других лекарственных средств на фармакокинетику сипонимода</w:t>
      </w:r>
      <w:r w:rsidR="004D6C84">
        <w:rPr>
          <w:rFonts w:eastAsia="Arial Unicode MS" w:cs="Times New Roman"/>
          <w:color w:val="000000"/>
          <w:sz w:val="24"/>
          <w:szCs w:val="24"/>
          <w:u w:val="single"/>
          <w:lang w:val="ru-RU" w:eastAsia="ko-KR"/>
        </w:rPr>
        <w:t xml:space="preserve"> </w:t>
      </w:r>
      <w:r w:rsidRPr="009C38EA">
        <w:rPr>
          <w:rFonts w:eastAsia="Arial Unicode MS" w:cs="Times New Roman"/>
          <w:color w:val="000000"/>
          <w:sz w:val="24"/>
          <w:szCs w:val="24"/>
          <w:lang w:val="ru-RU" w:eastAsia="ko-KR"/>
        </w:rPr>
        <w:t>Сипонимод метаболизируется преимущественно цитохромом P450 2C9 (CYP2C9) (79,3</w:t>
      </w:r>
      <w:r w:rsidR="00F13270">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 и в меньшей степени цитохромом P450 3A4 (CYP3A4) (18,5</w:t>
      </w:r>
      <w:r w:rsidR="004D6C84">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 CYP2C9 является полиморфным ферментом, и эффект межлекарственного взаимодействия (МЛВ) в присутствии ингибиторов или индукторов CYP3A или CYP2C9, как предполагается, зависит от генотипа CYP2C9.</w:t>
      </w:r>
    </w:p>
    <w:p w14:paraId="75BCA3D5" w14:textId="77777777" w:rsidR="009C38EA" w:rsidRPr="009C38EA" w:rsidRDefault="009C38EA" w:rsidP="002B0543">
      <w:pPr>
        <w:jc w:val="both"/>
        <w:rPr>
          <w:rFonts w:eastAsia="Arial Unicode MS" w:cs="Times New Roman"/>
          <w:i/>
          <w:iCs/>
          <w:color w:val="000000"/>
          <w:sz w:val="24"/>
          <w:szCs w:val="24"/>
          <w:u w:val="single"/>
          <w:lang w:val="ru-RU" w:eastAsia="ko-KR"/>
        </w:rPr>
      </w:pPr>
      <w:r w:rsidRPr="009C38EA">
        <w:rPr>
          <w:rFonts w:eastAsia="Arial Unicode MS" w:cs="Times New Roman"/>
          <w:i/>
          <w:iCs/>
          <w:color w:val="000000"/>
          <w:sz w:val="24"/>
          <w:szCs w:val="24"/>
          <w:u w:val="single"/>
          <w:lang w:val="ru-RU" w:eastAsia="ko-KR"/>
        </w:rPr>
        <w:t>Ингибиторы CYP2C9 и CYP3A4</w:t>
      </w:r>
    </w:p>
    <w:p w14:paraId="60E629D9"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Из-за значительного повышения воздействия сипонимода не рекомендуется одновременное применение этого препарата и лекарственных средств, вызывающих умеренное ингибирование CYP2C9 и умеренное или сильное ингибирование CYP3A4. В качестве сопутствующего препарата можно использовать двойной ингибитор CYP2C9/CYP3A4 умеренной степени (например, флуконазол) или ингибитор CYP2C9 умеренной степени в комбинации с отдельным ингибитором CYP3A4 умеренной или сильной степени.</w:t>
      </w:r>
    </w:p>
    <w:p w14:paraId="50E6D441" w14:textId="4FA1F62C"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Совместное применение флуконазола (умеренного двойного ингибитора CYP2C9/CYP3A4) в дозе 200 мг в сутки в стабильном состоянии и однократной дозы сипонимода в дозе 4 мг у здоровых добровольцев с генотипом CYP2C9*1*1 привело к 2-кратному увеличению площади под кривой (AUC) сипонимода. Согласно оценке потенциала лекарственного взаимодействия с помощью физиологически обоснованного фармакокинетического (PBPK) моделирования, прогнозируется максимальное 2-кратное увеличение площади AUC сипонимода для всех генотипов с любым типом ингибиторов CYP3A4 и CYP2C9, за исключением пациентов с генотипом CYP2C9*2*2. У пациентов с генотипом CYP2C9*2*2 ожидается увеличение значения AUC сипонимода в 2,7 раза при наличии умеренных ингибиторов CYP2C9/CYP3A4.</w:t>
      </w:r>
      <w:r w:rsidR="00F13270">
        <w:rPr>
          <w:rFonts w:eastAsia="Arial Unicode MS" w:cs="Times New Roman"/>
          <w:color w:val="000000"/>
          <w:sz w:val="24"/>
          <w:szCs w:val="24"/>
          <w:lang w:val="ru-RU" w:eastAsia="ko-KR"/>
        </w:rPr>
        <w:t xml:space="preserve"> </w:t>
      </w:r>
      <w:r w:rsidRPr="009C38EA">
        <w:rPr>
          <w:rFonts w:eastAsia="Arial Unicode MS" w:cs="Times New Roman"/>
          <w:i/>
          <w:iCs/>
          <w:color w:val="000000"/>
          <w:sz w:val="24"/>
          <w:szCs w:val="24"/>
          <w:u w:val="single"/>
          <w:lang w:val="ru-RU" w:eastAsia="ko-KR"/>
        </w:rPr>
        <w:t>Индукторы CYP2C9 и CYP3A4</w:t>
      </w:r>
    </w:p>
    <w:p w14:paraId="4269B454"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Сипонимод можно сочетать с большинством типов индукторов CYP2C9 и CYP3A4. Однако из-за ожидаемого снижения воздействия сипонимода следует рассмотреть целесообразность и возможную пользу лечения при совместном применении сипонимода:</w:t>
      </w:r>
    </w:p>
    <w:p w14:paraId="6C37D7E0"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 с сильными двойными индукторами CYP3A4/умеренными CYP2C9 (например, карбамазепином) или с умеренным индуктором CYP2C9 в комбинации с отдельным сильным индуктором CYP3A4 у всех пациентов независимо от генотипа.</w:t>
      </w:r>
    </w:p>
    <w:p w14:paraId="356192A7"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 с умеренными индукторами CYP3A4 (например, модафинилом) или сильными индукторами CYP3A4 у пациентов с генотипом CYP2C9*1*3 или *2*3.</w:t>
      </w:r>
    </w:p>
    <w:p w14:paraId="7B43E841" w14:textId="759AFF1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При таких условиях ожидается значительное снижение</w:t>
      </w:r>
      <w:r w:rsidR="00F13270">
        <w:rPr>
          <w:rFonts w:eastAsia="Arial Unicode MS" w:cs="Times New Roman"/>
          <w:color w:val="000000"/>
          <w:sz w:val="24"/>
          <w:szCs w:val="24"/>
          <w:lang w:val="ru-RU" w:eastAsia="ko-KR"/>
        </w:rPr>
        <w:t xml:space="preserve"> воздействия сипонимода (до 76% </w:t>
      </w:r>
      <w:r w:rsidRPr="009C38EA">
        <w:rPr>
          <w:rFonts w:eastAsia="Arial Unicode MS" w:cs="Times New Roman"/>
          <w:color w:val="000000"/>
          <w:sz w:val="24"/>
          <w:szCs w:val="24"/>
          <w:lang w:val="ru-RU" w:eastAsia="ko-KR"/>
        </w:rPr>
        <w:t>и 51</w:t>
      </w:r>
      <w:r w:rsidR="00F13270">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 соответственно), согласно оценке потенциала лекарственного взаимодействия с помощью физиологически обоснованного фармакокинетического моделирования. Совместный прием сипонимода в дозе 2 мг в день в присутствии 600</w:t>
      </w:r>
      <w:r w:rsidR="00F13270">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мг в день рифампина (сильного индуктора CYP3A4 и умеренного индуктора CYP2C9) сни</w:t>
      </w:r>
      <w:r w:rsidR="00F13270">
        <w:rPr>
          <w:rFonts w:eastAsia="Arial Unicode MS" w:cs="Times New Roman"/>
          <w:color w:val="000000"/>
          <w:sz w:val="24"/>
          <w:szCs w:val="24"/>
          <w:lang w:val="ru-RU" w:eastAsia="ko-KR"/>
        </w:rPr>
        <w:t xml:space="preserve">жал показатели AUCtau,ss и Cmax </w:t>
      </w:r>
      <w:r w:rsidRPr="009C38EA">
        <w:rPr>
          <w:rFonts w:eastAsia="Arial Unicode MS" w:cs="Times New Roman"/>
          <w:color w:val="000000"/>
          <w:sz w:val="24"/>
          <w:szCs w:val="24"/>
          <w:lang w:val="ru-RU" w:eastAsia="ko-KR"/>
        </w:rPr>
        <w:t>ss сипонимода на 57</w:t>
      </w:r>
      <w:r w:rsidR="00F13270">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 и 45</w:t>
      </w:r>
      <w:r w:rsidR="00F13270">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 соответственно, у пациентов с CY2C9*1*1.</w:t>
      </w:r>
    </w:p>
    <w:p w14:paraId="773212C6" w14:textId="77777777" w:rsidR="009C38EA" w:rsidRPr="009C38EA" w:rsidRDefault="009C38EA" w:rsidP="002B0543">
      <w:pPr>
        <w:jc w:val="both"/>
        <w:rPr>
          <w:rFonts w:eastAsia="Arial Unicode MS" w:cs="Times New Roman"/>
          <w:color w:val="000000"/>
          <w:sz w:val="24"/>
          <w:szCs w:val="24"/>
          <w:u w:val="single"/>
          <w:lang w:val="ru-RU" w:eastAsia="ko-KR"/>
        </w:rPr>
      </w:pPr>
      <w:r w:rsidRPr="009C38EA">
        <w:rPr>
          <w:rFonts w:eastAsia="Arial Unicode MS" w:cs="Times New Roman"/>
          <w:color w:val="000000"/>
          <w:sz w:val="24"/>
          <w:szCs w:val="24"/>
          <w:u w:val="single"/>
          <w:lang w:val="ru-RU" w:eastAsia="ko-KR"/>
        </w:rPr>
        <w:t>Пероральные контрацептивы</w:t>
      </w:r>
    </w:p>
    <w:p w14:paraId="4BEAFA21" w14:textId="65B64FBC"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Совместное применение с сипонимодом не выявило клинически значимого влияния на фармакокинетику и фармакодинамику комбинированного перорального контрацептива с этинилэстрадиолом и левоноргестрелом. Поэтому эффективность исследуемого перорального контрацептива сохранялась при лечении сипонимодом.</w:t>
      </w:r>
      <w:r w:rsidR="00F13270">
        <w:rPr>
          <w:rFonts w:eastAsia="Arial Unicode MS" w:cs="Times New Roman"/>
          <w:color w:val="000000"/>
          <w:sz w:val="24"/>
          <w:szCs w:val="24"/>
          <w:lang w:val="ru-RU" w:eastAsia="ko-KR"/>
        </w:rPr>
        <w:t xml:space="preserve"> </w:t>
      </w:r>
      <w:r w:rsidRPr="009C38EA">
        <w:rPr>
          <w:rFonts w:eastAsia="Arial Unicode MS" w:cs="Times New Roman"/>
          <w:color w:val="000000"/>
          <w:sz w:val="24"/>
          <w:szCs w:val="24"/>
          <w:lang w:val="ru-RU" w:eastAsia="ko-KR"/>
        </w:rPr>
        <w:t>Исследований</w:t>
      </w:r>
      <w:r w:rsidR="00F13270">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взаимодействия с пероральными контрацептивами, содержащими другие прогестагены, не проводилось, однако влияния сипонимода на эффективность пероральных контрацептивов не ожидается.</w:t>
      </w:r>
    </w:p>
    <w:p w14:paraId="5FED5677" w14:textId="77777777" w:rsidR="004F3682" w:rsidRPr="00383DBC" w:rsidRDefault="004F3682" w:rsidP="002B0543">
      <w:pPr>
        <w:jc w:val="both"/>
        <w:rPr>
          <w:rFonts w:eastAsia="Times New Roman" w:cs="Times New Roman"/>
          <w:sz w:val="24"/>
          <w:szCs w:val="24"/>
          <w:lang w:val="ru-RU"/>
        </w:rPr>
      </w:pPr>
    </w:p>
    <w:p w14:paraId="3CEA3680" w14:textId="170174C7" w:rsidR="00434AE6" w:rsidRPr="00383DBC" w:rsidRDefault="00A93F9E" w:rsidP="002B0543">
      <w:pPr>
        <w:jc w:val="both"/>
        <w:rPr>
          <w:rFonts w:eastAsia="Times New Roman" w:cs="Times New Roman"/>
          <w:b/>
          <w:sz w:val="24"/>
          <w:szCs w:val="24"/>
          <w:lang w:val="ru-RU" w:eastAsia="ru-RU"/>
        </w:rPr>
      </w:pPr>
      <w:bookmarkStart w:id="25" w:name="_i4i6iYPhaiexkxD7IyBYWanUP"/>
      <w:bookmarkEnd w:id="25"/>
      <w:r w:rsidRPr="00383DBC">
        <w:rPr>
          <w:rFonts w:eastAsia="Times New Roman" w:cs="Times New Roman"/>
          <w:b/>
          <w:sz w:val="24"/>
          <w:szCs w:val="24"/>
          <w:lang w:val="ru-RU" w:eastAsia="ru-RU"/>
        </w:rPr>
        <w:t>4.6 Фертильность, беременность и лактация</w:t>
      </w:r>
      <w:bookmarkStart w:id="26" w:name="_i4i3dMwqX9Psvn34O3yMsTt02"/>
      <w:bookmarkEnd w:id="26"/>
    </w:p>
    <w:p w14:paraId="110D50F8" w14:textId="77777777" w:rsidR="009C38EA" w:rsidRPr="009C38EA" w:rsidRDefault="009C38EA" w:rsidP="002B0543">
      <w:pPr>
        <w:jc w:val="both"/>
        <w:rPr>
          <w:rFonts w:eastAsia="Arial Unicode MS" w:cs="Times New Roman"/>
          <w:color w:val="000000"/>
          <w:sz w:val="24"/>
          <w:szCs w:val="24"/>
          <w:u w:val="single"/>
          <w:lang w:val="ru-RU" w:eastAsia="ko-KR"/>
        </w:rPr>
      </w:pPr>
      <w:r w:rsidRPr="009C38EA">
        <w:rPr>
          <w:rFonts w:eastAsia="Arial Unicode MS" w:cs="Times New Roman"/>
          <w:color w:val="000000"/>
          <w:sz w:val="24"/>
          <w:szCs w:val="24"/>
          <w:u w:val="single"/>
          <w:lang w:val="ru-RU" w:eastAsia="ko-KR"/>
        </w:rPr>
        <w:t>Женщины детородного возраста/Контрацепция у женщин</w:t>
      </w:r>
    </w:p>
    <w:p w14:paraId="46E7E720"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lastRenderedPageBreak/>
        <w:t>Сипонимод противопоказан женщинам детородного возраста, не использующим эффективные средства контрацепции (см. раздел 4.3). Поэтому перед началом лечения женщин детородного возраста необходимо получить отрицательный результат теста на беременность и проконсультироваться по поводу серьезного риска для плода. Женщины детородного возраста должны использовать эффективные средства контрацепции во время лечения и в течение как минимум десяти дней после приема последней дозы сипонимода (см. раздел 4.4).</w:t>
      </w:r>
    </w:p>
    <w:p w14:paraId="499A96D5"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Конкретные меры также включены в образовательный пакет для врачей. Эти меры должны быть приняты до назначения сипонимода пациенткам женского пола и во время лечения.</w:t>
      </w:r>
    </w:p>
    <w:p w14:paraId="7601FE03" w14:textId="35624C0D"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При прекращении терапии сипонимодом в связи с планированием беременности следует учитывать возможность возвращения активности заболевания (см. раздел 4.4).</w:t>
      </w:r>
      <w:r w:rsidR="00482FB1">
        <w:rPr>
          <w:rFonts w:eastAsia="Arial Unicode MS" w:cs="Times New Roman"/>
          <w:color w:val="000000"/>
          <w:sz w:val="24"/>
          <w:szCs w:val="24"/>
          <w:lang w:val="ru-RU" w:eastAsia="ko-KR"/>
        </w:rPr>
        <w:t xml:space="preserve"> </w:t>
      </w:r>
      <w:r w:rsidRPr="009C38EA">
        <w:rPr>
          <w:rFonts w:eastAsia="Arial Unicode MS" w:cs="Times New Roman"/>
          <w:color w:val="000000"/>
          <w:sz w:val="24"/>
          <w:szCs w:val="24"/>
          <w:u w:val="single"/>
          <w:lang w:val="ru-RU" w:eastAsia="ko-KR"/>
        </w:rPr>
        <w:t>Беременность</w:t>
      </w:r>
    </w:p>
    <w:p w14:paraId="0D6BA34B" w14:textId="70997CC0"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Данные о применении сипонимода у беременных женщин отсутствуют или ограничены. Исследования на животных продемонстрировали эмбриотоксичность и фетотоксичность сипонимода у крыс и кроликов, а также тератогенность у крыс, включая эмбрио-фетальную гибель и скелетные или висцеральные пороки развития при уровнях воздействия, сопоставимых с воздействием на человека при суточной дозе 2 мг (см. раздел 5.3). Кроме того, клинический опыт применения другого модулятора рецепторов сфингозин-1-фосфата показал 2-кратное повышение риска основных врожденных пороков развития при приеме препарата во время беременности по сравнению с показателями, наблюдаемыми в общей популяции.</w:t>
      </w:r>
      <w:r w:rsidR="00482FB1">
        <w:rPr>
          <w:rFonts w:eastAsia="Arial Unicode MS" w:cs="Times New Roman"/>
          <w:color w:val="000000"/>
          <w:sz w:val="24"/>
          <w:szCs w:val="24"/>
          <w:lang w:val="ru-RU" w:eastAsia="ko-KR"/>
        </w:rPr>
        <w:t xml:space="preserve"> </w:t>
      </w:r>
      <w:r w:rsidRPr="009C38EA">
        <w:rPr>
          <w:rFonts w:eastAsia="Arial Unicode MS" w:cs="Times New Roman"/>
          <w:color w:val="000000"/>
          <w:sz w:val="24"/>
          <w:szCs w:val="24"/>
          <w:lang w:val="ru-RU" w:eastAsia="ko-KR"/>
        </w:rPr>
        <w:t>Следовательно,</w:t>
      </w:r>
      <w:r w:rsidR="00482FB1">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сипонимод противопоказан при беременности (см. раздел 4.3). Прием</w:t>
      </w:r>
      <w:r w:rsidR="00482FB1">
        <w:rPr>
          <w:rFonts w:eastAsia="Arial Unicode MS" w:cs="Times New Roman"/>
          <w:color w:val="000000"/>
          <w:sz w:val="24"/>
          <w:szCs w:val="24"/>
          <w:lang w:val="ru-RU" w:eastAsia="ko-KR"/>
        </w:rPr>
        <w:t> </w:t>
      </w:r>
      <w:r w:rsidRPr="009C38EA">
        <w:rPr>
          <w:rFonts w:eastAsia="Arial Unicode MS" w:cs="Times New Roman"/>
          <w:color w:val="000000"/>
          <w:sz w:val="24"/>
          <w:szCs w:val="24"/>
          <w:lang w:val="ru-RU" w:eastAsia="ko-KR"/>
        </w:rPr>
        <w:t>сипонимода следует прекратить не менее чем за 10 дней до планируемой беременности (см. раздел 4.4). Если женщина забеременела во время лечения, прием сипонимода должен быть прекращен. Необходимо получить медицинскую консультацию относительно риска вредного воздействия на плод, связанного с лечением, и провести ультразвуковое исследование.</w:t>
      </w:r>
    </w:p>
    <w:p w14:paraId="75642E16" w14:textId="77777777" w:rsidR="009C38EA" w:rsidRPr="009C38EA" w:rsidRDefault="009C38EA" w:rsidP="002B0543">
      <w:pPr>
        <w:jc w:val="both"/>
        <w:rPr>
          <w:rFonts w:eastAsia="Arial Unicode MS" w:cs="Times New Roman"/>
          <w:color w:val="000000"/>
          <w:sz w:val="24"/>
          <w:szCs w:val="24"/>
          <w:u w:val="single"/>
          <w:lang w:val="ru-RU" w:eastAsia="ko-KR"/>
        </w:rPr>
      </w:pPr>
      <w:r w:rsidRPr="009C38EA">
        <w:rPr>
          <w:rFonts w:eastAsia="Arial Unicode MS" w:cs="Times New Roman"/>
          <w:color w:val="000000"/>
          <w:sz w:val="24"/>
          <w:szCs w:val="24"/>
          <w:u w:val="single"/>
          <w:lang w:val="ru-RU" w:eastAsia="ko-KR"/>
        </w:rPr>
        <w:t>Кормление грудью</w:t>
      </w:r>
    </w:p>
    <w:p w14:paraId="1F490AE3"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Неизвестно, выделяется ли сипонимод или его основные метаболиты в человеческое молоко. Сипонимод и его метаболиты выделяются в молоко крыс. Сипонимод не следует применять во время кормления грудью.</w:t>
      </w:r>
    </w:p>
    <w:p w14:paraId="50337AE9" w14:textId="77777777" w:rsidR="009C38EA" w:rsidRPr="009C38EA" w:rsidRDefault="009C38EA" w:rsidP="002B0543">
      <w:pPr>
        <w:jc w:val="both"/>
        <w:rPr>
          <w:rFonts w:eastAsia="Arial Unicode MS" w:cs="Times New Roman"/>
          <w:color w:val="000000"/>
          <w:sz w:val="24"/>
          <w:szCs w:val="24"/>
          <w:u w:val="single"/>
          <w:lang w:val="ru-RU" w:eastAsia="ko-KR"/>
        </w:rPr>
      </w:pPr>
      <w:r w:rsidRPr="009C38EA">
        <w:rPr>
          <w:rFonts w:eastAsia="Arial Unicode MS" w:cs="Times New Roman"/>
          <w:color w:val="000000"/>
          <w:sz w:val="24"/>
          <w:szCs w:val="24"/>
          <w:u w:val="single"/>
          <w:lang w:val="ru-RU" w:eastAsia="ko-KR"/>
        </w:rPr>
        <w:t>Фертильность</w:t>
      </w:r>
    </w:p>
    <w:p w14:paraId="61FF0B51" w14:textId="77777777" w:rsidR="009C38EA" w:rsidRPr="009C38EA" w:rsidRDefault="009C38EA" w:rsidP="002B0543">
      <w:pPr>
        <w:jc w:val="both"/>
        <w:rPr>
          <w:rFonts w:eastAsia="Arial Unicode MS" w:cs="Times New Roman"/>
          <w:color w:val="000000"/>
          <w:sz w:val="24"/>
          <w:szCs w:val="24"/>
          <w:lang w:val="ru-RU" w:eastAsia="ko-KR"/>
        </w:rPr>
      </w:pPr>
      <w:r w:rsidRPr="009C38EA">
        <w:rPr>
          <w:rFonts w:eastAsia="Arial Unicode MS" w:cs="Times New Roman"/>
          <w:color w:val="000000"/>
          <w:sz w:val="24"/>
          <w:szCs w:val="24"/>
          <w:lang w:val="ru-RU" w:eastAsia="ko-KR"/>
        </w:rPr>
        <w:t>Влияние сипонимода на фертильность человека не изучалось. Сипонимод не оказывал влияния на мужские репродуктивные органы у крыс и обезьян, а также на параметры фертильности у крыс.</w:t>
      </w:r>
    </w:p>
    <w:p w14:paraId="3A9404DA" w14:textId="77777777" w:rsidR="00434AE6" w:rsidRPr="00383DBC" w:rsidRDefault="00434AE6" w:rsidP="002B0543">
      <w:pPr>
        <w:autoSpaceDE w:val="0"/>
        <w:autoSpaceDN w:val="0"/>
        <w:adjustRightInd w:val="0"/>
        <w:jc w:val="both"/>
        <w:rPr>
          <w:rFonts w:eastAsia="SimSun" w:cs="Times New Roman"/>
          <w:sz w:val="24"/>
          <w:szCs w:val="24"/>
          <w:lang w:val="ru-RU" w:eastAsia="ru-RU"/>
        </w:rPr>
      </w:pPr>
    </w:p>
    <w:p w14:paraId="67555D1E" w14:textId="60652487" w:rsidR="00A93F9E" w:rsidRPr="00383DBC" w:rsidRDefault="00A93F9E" w:rsidP="002B0543">
      <w:pPr>
        <w:jc w:val="both"/>
        <w:rPr>
          <w:rFonts w:eastAsia="Times New Roman" w:cs="Times New Roman"/>
          <w:b/>
          <w:sz w:val="24"/>
          <w:szCs w:val="24"/>
          <w:lang w:val="ru-RU" w:eastAsia="ru-RU"/>
        </w:rPr>
      </w:pPr>
      <w:bookmarkStart w:id="27" w:name="_i4i5K1EQNoOA2aHxpUfNjNa2U"/>
      <w:bookmarkStart w:id="28" w:name="_i4i7FfMnMVXhNpEUhxQli0qw2"/>
      <w:bookmarkEnd w:id="27"/>
      <w:bookmarkEnd w:id="28"/>
      <w:r w:rsidRPr="00383DBC">
        <w:rPr>
          <w:rFonts w:eastAsia="Times New Roman" w:cs="Times New Roman"/>
          <w:b/>
          <w:sz w:val="24"/>
          <w:szCs w:val="24"/>
          <w:lang w:val="ru-RU" w:eastAsia="ru-RU"/>
        </w:rPr>
        <w:t xml:space="preserve">4.7 Влияние на способность управлять транспортными средствами и </w:t>
      </w:r>
      <w:r w:rsidR="00157F82">
        <w:rPr>
          <w:rFonts w:eastAsia="Times New Roman" w:cs="Times New Roman"/>
          <w:b/>
          <w:sz w:val="24"/>
          <w:szCs w:val="24"/>
          <w:lang w:val="ru-RU" w:eastAsia="ru-RU"/>
        </w:rPr>
        <w:t>работать с</w:t>
      </w:r>
      <w:r w:rsidRPr="00383DBC">
        <w:rPr>
          <w:rFonts w:eastAsia="Times New Roman" w:cs="Times New Roman"/>
          <w:b/>
          <w:sz w:val="24"/>
          <w:szCs w:val="24"/>
          <w:lang w:val="ru-RU" w:eastAsia="ru-RU"/>
        </w:rPr>
        <w:t xml:space="preserve"> механизмами</w:t>
      </w:r>
    </w:p>
    <w:p w14:paraId="7682DDCF" w14:textId="77777777" w:rsidR="009C38EA" w:rsidRPr="00383DBC" w:rsidRDefault="009C38EA" w:rsidP="002B0543">
      <w:pPr>
        <w:jc w:val="both"/>
        <w:rPr>
          <w:rFonts w:cs="Times New Roman"/>
          <w:sz w:val="24"/>
          <w:szCs w:val="24"/>
          <w:lang w:val="ru-RU"/>
        </w:rPr>
      </w:pPr>
      <w:r w:rsidRPr="00383DBC">
        <w:rPr>
          <w:rFonts w:cs="Times New Roman"/>
          <w:sz w:val="24"/>
          <w:szCs w:val="24"/>
          <w:lang w:val="ru-RU"/>
        </w:rPr>
        <w:t>Сипонимод не оказывает или оказывает незначительное влияние на способность управлять автомобилем и работать с механизмами. Однако в начале терапии сипонимодом иногда может возникать головокружение. Поэтому в первый день после начала лечения сипонимодом пациентам не следует водить машину или работать с механизмами (см. раздел 4.4).</w:t>
      </w:r>
    </w:p>
    <w:p w14:paraId="49AFDD3D" w14:textId="77777777" w:rsidR="00C80259" w:rsidRPr="00383DBC" w:rsidRDefault="00C80259" w:rsidP="002B0543">
      <w:pPr>
        <w:jc w:val="both"/>
        <w:rPr>
          <w:rFonts w:eastAsia="SimSun" w:cs="Times New Roman"/>
          <w:sz w:val="24"/>
          <w:szCs w:val="24"/>
          <w:highlight w:val="yellow"/>
          <w:lang w:val="ru-RU" w:eastAsia="ru-RU"/>
        </w:rPr>
      </w:pPr>
    </w:p>
    <w:p w14:paraId="4E4F4D67" w14:textId="41214F47" w:rsidR="00A93F9E" w:rsidRPr="00383DBC" w:rsidRDefault="00A93F9E" w:rsidP="002B0543">
      <w:pPr>
        <w:jc w:val="both"/>
        <w:rPr>
          <w:rFonts w:eastAsia="Times New Roman" w:cs="Times New Roman"/>
          <w:sz w:val="24"/>
          <w:szCs w:val="24"/>
          <w:lang w:val="ru-RU"/>
        </w:rPr>
      </w:pPr>
      <w:bookmarkStart w:id="29" w:name="_i4i7ApsiAPtxmNjdkqk0pRkVI"/>
      <w:bookmarkEnd w:id="29"/>
      <w:r w:rsidRPr="00383DBC">
        <w:rPr>
          <w:rFonts w:eastAsia="Times New Roman" w:cs="Times New Roman"/>
          <w:b/>
          <w:sz w:val="24"/>
          <w:szCs w:val="24"/>
          <w:lang w:val="ru-RU" w:eastAsia="ru-RU"/>
        </w:rPr>
        <w:t>4.8 Нежелательные реакции</w:t>
      </w:r>
    </w:p>
    <w:p w14:paraId="0A1A23C0" w14:textId="77777777" w:rsidR="00C80259" w:rsidRPr="00383DBC" w:rsidRDefault="00A93F9E" w:rsidP="002B0543">
      <w:pPr>
        <w:jc w:val="both"/>
        <w:rPr>
          <w:rFonts w:eastAsia="Times New Roman" w:cs="Times New Roman"/>
          <w:i/>
          <w:sz w:val="24"/>
          <w:szCs w:val="24"/>
          <w:lang w:val="ru-RU"/>
        </w:rPr>
      </w:pPr>
      <w:r w:rsidRPr="00383DBC">
        <w:rPr>
          <w:rFonts w:eastAsia="Times New Roman" w:cs="Times New Roman"/>
          <w:i/>
          <w:sz w:val="24"/>
          <w:szCs w:val="24"/>
          <w:lang w:val="ru-RU"/>
        </w:rPr>
        <w:t>Краткий обзор профиля безопасности</w:t>
      </w:r>
      <w:bookmarkStart w:id="30" w:name="_Hlk86785728"/>
    </w:p>
    <w:p w14:paraId="5B5EE315" w14:textId="67C6845D" w:rsidR="009C38EA" w:rsidRPr="00383DBC" w:rsidRDefault="009C38EA" w:rsidP="002B0543">
      <w:pPr>
        <w:jc w:val="both"/>
        <w:rPr>
          <w:rFonts w:cs="Times New Roman"/>
          <w:sz w:val="24"/>
          <w:szCs w:val="24"/>
          <w:lang w:val="ru-RU"/>
        </w:rPr>
      </w:pPr>
      <w:r w:rsidRPr="00383DBC">
        <w:rPr>
          <w:rFonts w:cs="Times New Roman"/>
          <w:sz w:val="24"/>
          <w:szCs w:val="24"/>
          <w:lang w:val="ru-RU"/>
        </w:rPr>
        <w:t xml:space="preserve">Наиболее частыми побочными реакциями являются головная </w:t>
      </w:r>
      <w:r w:rsidR="00482FB1">
        <w:rPr>
          <w:rFonts w:cs="Times New Roman"/>
          <w:sz w:val="24"/>
          <w:szCs w:val="24"/>
          <w:lang w:val="ru-RU"/>
        </w:rPr>
        <w:t>боль (15 %) и гипертензия (12,6 </w:t>
      </w:r>
      <w:r w:rsidRPr="00383DBC">
        <w:rPr>
          <w:rFonts w:cs="Times New Roman"/>
          <w:sz w:val="24"/>
          <w:szCs w:val="24"/>
          <w:lang w:val="ru-RU"/>
        </w:rPr>
        <w:t>%).</w:t>
      </w:r>
    </w:p>
    <w:p w14:paraId="07D78E5C" w14:textId="6B21FD72" w:rsidR="00C80259" w:rsidRPr="00383DBC" w:rsidRDefault="00C80259" w:rsidP="002B0543">
      <w:pPr>
        <w:autoSpaceDE w:val="0"/>
        <w:autoSpaceDN w:val="0"/>
        <w:jc w:val="both"/>
        <w:rPr>
          <w:rFonts w:eastAsia="Times New Roman" w:cs="Times New Roman"/>
          <w:sz w:val="24"/>
          <w:szCs w:val="24"/>
          <w:lang w:val="ru-RU"/>
        </w:rPr>
      </w:pPr>
      <w:r w:rsidRPr="00383DBC">
        <w:rPr>
          <w:rFonts w:eastAsia="Times New Roman" w:cs="Times New Roman"/>
          <w:sz w:val="24"/>
          <w:szCs w:val="24"/>
          <w:lang w:val="ru-RU"/>
        </w:rPr>
        <w:t>Табличный список побочных реакций</w:t>
      </w:r>
    </w:p>
    <w:p w14:paraId="2241DC99" w14:textId="1FC95AA5" w:rsidR="00C80259" w:rsidRPr="00383DBC" w:rsidRDefault="00C80259" w:rsidP="002B0543">
      <w:pPr>
        <w:autoSpaceDE w:val="0"/>
        <w:autoSpaceDN w:val="0"/>
        <w:jc w:val="both"/>
        <w:rPr>
          <w:rFonts w:eastAsia="Times New Roman" w:cs="Times New Roman"/>
          <w:sz w:val="24"/>
          <w:szCs w:val="24"/>
          <w:lang w:val="ru-RU"/>
        </w:rPr>
      </w:pPr>
      <w:r w:rsidRPr="00383DBC">
        <w:rPr>
          <w:rFonts w:eastAsia="Times New Roman" w:cs="Times New Roman"/>
          <w:sz w:val="24"/>
          <w:szCs w:val="24"/>
          <w:lang w:val="ru-RU"/>
        </w:rPr>
        <w:t>Побочные реакции перечислены по абсолютной частоте. Частоты определяются как очень часто (≥</w:t>
      </w:r>
      <w:r w:rsidR="00BF1A7F" w:rsidRPr="00383DBC">
        <w:rPr>
          <w:rFonts w:eastAsia="Times New Roman" w:cs="Times New Roman"/>
          <w:sz w:val="24"/>
          <w:szCs w:val="24"/>
          <w:lang w:val="ru-RU"/>
        </w:rPr>
        <w:t> </w:t>
      </w:r>
      <w:r w:rsidRPr="00383DBC">
        <w:rPr>
          <w:rFonts w:eastAsia="Times New Roman" w:cs="Times New Roman"/>
          <w:sz w:val="24"/>
          <w:szCs w:val="24"/>
          <w:lang w:val="ru-RU"/>
        </w:rPr>
        <w:t>1/10), часто (≥</w:t>
      </w:r>
      <w:r w:rsidR="00BF1A7F" w:rsidRPr="00383DBC">
        <w:rPr>
          <w:rFonts w:eastAsia="Times New Roman" w:cs="Times New Roman"/>
          <w:sz w:val="24"/>
          <w:szCs w:val="24"/>
          <w:lang w:val="ru-RU"/>
        </w:rPr>
        <w:t> </w:t>
      </w:r>
      <w:r w:rsidRPr="00383DBC">
        <w:rPr>
          <w:rFonts w:eastAsia="Times New Roman" w:cs="Times New Roman"/>
          <w:sz w:val="24"/>
          <w:szCs w:val="24"/>
          <w:lang w:val="ru-RU"/>
        </w:rPr>
        <w:t>1/100 до &lt;</w:t>
      </w:r>
      <w:r w:rsidR="00BF1A7F" w:rsidRPr="00383DBC">
        <w:rPr>
          <w:rFonts w:eastAsia="Times New Roman" w:cs="Times New Roman"/>
          <w:sz w:val="24"/>
          <w:szCs w:val="24"/>
          <w:lang w:val="ru-RU"/>
        </w:rPr>
        <w:t> </w:t>
      </w:r>
      <w:r w:rsidRPr="00383DBC">
        <w:rPr>
          <w:rFonts w:eastAsia="Times New Roman" w:cs="Times New Roman"/>
          <w:sz w:val="24"/>
          <w:szCs w:val="24"/>
          <w:lang w:val="ru-RU"/>
        </w:rPr>
        <w:t>1/10), нечасто (≥</w:t>
      </w:r>
      <w:r w:rsidR="00BF1A7F" w:rsidRPr="00383DBC">
        <w:rPr>
          <w:rFonts w:eastAsia="Times New Roman" w:cs="Times New Roman"/>
          <w:sz w:val="24"/>
          <w:szCs w:val="24"/>
          <w:lang w:val="ru-RU"/>
        </w:rPr>
        <w:t> </w:t>
      </w:r>
      <w:r w:rsidRPr="00383DBC">
        <w:rPr>
          <w:rFonts w:eastAsia="Times New Roman" w:cs="Times New Roman"/>
          <w:sz w:val="24"/>
          <w:szCs w:val="24"/>
          <w:lang w:val="ru-RU"/>
        </w:rPr>
        <w:t>1/1000 до &lt;</w:t>
      </w:r>
      <w:r w:rsidR="00BF1A7F" w:rsidRPr="00383DBC">
        <w:rPr>
          <w:rFonts w:eastAsia="Times New Roman" w:cs="Times New Roman"/>
          <w:sz w:val="24"/>
          <w:szCs w:val="24"/>
          <w:lang w:val="ru-RU"/>
        </w:rPr>
        <w:t> </w:t>
      </w:r>
      <w:r w:rsidRPr="00383DBC">
        <w:rPr>
          <w:rFonts w:eastAsia="Times New Roman" w:cs="Times New Roman"/>
          <w:sz w:val="24"/>
          <w:szCs w:val="24"/>
          <w:lang w:val="ru-RU"/>
        </w:rPr>
        <w:t xml:space="preserve">1/100), редко </w:t>
      </w:r>
      <w:r w:rsidRPr="00383DBC">
        <w:rPr>
          <w:rFonts w:eastAsia="Times New Roman" w:cs="Times New Roman"/>
          <w:sz w:val="24"/>
          <w:szCs w:val="24"/>
          <w:lang w:val="ru-RU"/>
        </w:rPr>
        <w:lastRenderedPageBreak/>
        <w:t>(≥</w:t>
      </w:r>
      <w:r w:rsidR="00BF1A7F" w:rsidRPr="00383DBC">
        <w:rPr>
          <w:rFonts w:eastAsia="Times New Roman" w:cs="Times New Roman"/>
          <w:sz w:val="24"/>
          <w:szCs w:val="24"/>
          <w:lang w:val="ru-RU"/>
        </w:rPr>
        <w:t> </w:t>
      </w:r>
      <w:r w:rsidRPr="00383DBC">
        <w:rPr>
          <w:rFonts w:eastAsia="Times New Roman" w:cs="Times New Roman"/>
          <w:sz w:val="24"/>
          <w:szCs w:val="24"/>
          <w:lang w:val="ru-RU"/>
        </w:rPr>
        <w:t>1/10000 до &lt;</w:t>
      </w:r>
      <w:r w:rsidR="00BF1A7F" w:rsidRPr="00383DBC">
        <w:rPr>
          <w:rFonts w:eastAsia="Times New Roman" w:cs="Times New Roman"/>
          <w:sz w:val="24"/>
          <w:szCs w:val="24"/>
          <w:lang w:val="ru-RU"/>
        </w:rPr>
        <w:t> </w:t>
      </w:r>
      <w:r w:rsidRPr="00383DBC">
        <w:rPr>
          <w:rFonts w:eastAsia="Times New Roman" w:cs="Times New Roman"/>
          <w:sz w:val="24"/>
          <w:szCs w:val="24"/>
          <w:lang w:val="ru-RU"/>
        </w:rPr>
        <w:t>1/1000) или очень редко (&lt;</w:t>
      </w:r>
      <w:r w:rsidR="00BF1A7F" w:rsidRPr="00383DBC">
        <w:rPr>
          <w:rFonts w:eastAsia="Times New Roman" w:cs="Times New Roman"/>
          <w:sz w:val="24"/>
          <w:szCs w:val="24"/>
          <w:lang w:val="ru-RU"/>
        </w:rPr>
        <w:t> </w:t>
      </w:r>
      <w:r w:rsidRPr="00383DBC">
        <w:rPr>
          <w:rFonts w:eastAsia="Times New Roman" w:cs="Times New Roman"/>
          <w:sz w:val="24"/>
          <w:szCs w:val="24"/>
          <w:lang w:val="ru-RU"/>
        </w:rPr>
        <w:t>1/10000) и неизвестно (невозможно оценить на основе имеющихся данных).</w:t>
      </w:r>
    </w:p>
    <w:p w14:paraId="05F283A6" w14:textId="18D5F856" w:rsidR="009C38EA" w:rsidRPr="00383DBC" w:rsidRDefault="00C80259" w:rsidP="002B0543">
      <w:pPr>
        <w:autoSpaceDE w:val="0"/>
        <w:autoSpaceDN w:val="0"/>
        <w:jc w:val="both"/>
        <w:rPr>
          <w:rFonts w:eastAsia="Times New Roman" w:cs="Times New Roman"/>
          <w:sz w:val="24"/>
          <w:szCs w:val="24"/>
          <w:lang w:val="ru-RU"/>
        </w:rPr>
      </w:pPr>
      <w:r w:rsidRPr="00383DBC">
        <w:rPr>
          <w:rFonts w:eastAsia="Times New Roman" w:cs="Times New Roman"/>
          <w:sz w:val="24"/>
          <w:szCs w:val="24"/>
          <w:lang w:val="ru-RU"/>
        </w:rPr>
        <w:t>Таблица 2: Табличный список побочных реакций (MedDRA) из плацебо-контролируемых исследований и из пострегистрационного опыта</w:t>
      </w:r>
    </w:p>
    <w:tbl>
      <w:tblPr>
        <w:tblStyle w:val="aff2"/>
        <w:tblW w:w="5000" w:type="pct"/>
        <w:tblLayout w:type="fixed"/>
        <w:tblLook w:val="0000" w:firstRow="0" w:lastRow="0" w:firstColumn="0" w:lastColumn="0" w:noHBand="0" w:noVBand="0"/>
      </w:tblPr>
      <w:tblGrid>
        <w:gridCol w:w="2581"/>
        <w:gridCol w:w="6707"/>
      </w:tblGrid>
      <w:tr w:rsidR="009C38EA" w:rsidRPr="00383DBC" w14:paraId="1A827456" w14:textId="77777777" w:rsidTr="00482FB1">
        <w:tc>
          <w:tcPr>
            <w:tcW w:w="9288" w:type="dxa"/>
            <w:gridSpan w:val="2"/>
          </w:tcPr>
          <w:p w14:paraId="1AA08106" w14:textId="77777777" w:rsidR="009C38EA" w:rsidRPr="00383DBC" w:rsidRDefault="009C38EA" w:rsidP="00383DBC">
            <w:pPr>
              <w:pStyle w:val="211"/>
              <w:shd w:val="clear" w:color="auto" w:fill="auto"/>
              <w:spacing w:line="240" w:lineRule="auto"/>
              <w:ind w:firstLine="0"/>
              <w:rPr>
                <w:rStyle w:val="28"/>
                <w:rFonts w:ascii="Times New Roman" w:hAnsi="Times New Roman" w:cs="Times New Roman"/>
                <w:color w:val="000000"/>
                <w:sz w:val="24"/>
                <w:szCs w:val="24"/>
                <w:lang w:val="ru-RU"/>
              </w:rPr>
            </w:pPr>
            <w:r w:rsidRPr="00383DBC">
              <w:rPr>
                <w:rStyle w:val="28"/>
                <w:rFonts w:ascii="Times New Roman" w:hAnsi="Times New Roman" w:cs="Times New Roman"/>
                <w:color w:val="000000"/>
                <w:sz w:val="24"/>
                <w:szCs w:val="24"/>
                <w:lang w:val="ru-RU"/>
              </w:rPr>
              <w:t>Инфекции и заражения</w:t>
            </w:r>
          </w:p>
        </w:tc>
      </w:tr>
      <w:tr w:rsidR="009C38EA" w:rsidRPr="00383DBC" w14:paraId="0DA71699" w14:textId="77777777" w:rsidTr="00482FB1">
        <w:tc>
          <w:tcPr>
            <w:tcW w:w="2581" w:type="dxa"/>
          </w:tcPr>
          <w:p w14:paraId="19B5C0B7" w14:textId="77777777" w:rsidR="009C38EA" w:rsidRPr="00383DBC" w:rsidRDefault="009C38EA" w:rsidP="00383DBC">
            <w:pPr>
              <w:rPr>
                <w:rFonts w:cs="Times New Roman"/>
                <w:sz w:val="24"/>
                <w:szCs w:val="24"/>
                <w:lang w:val="ru-RU"/>
              </w:rPr>
            </w:pPr>
            <w:r w:rsidRPr="00383DBC">
              <w:rPr>
                <w:rFonts w:cs="Times New Roman"/>
                <w:sz w:val="24"/>
                <w:szCs w:val="24"/>
                <w:lang w:val="ru-RU"/>
              </w:rPr>
              <w:t>Часто</w:t>
            </w:r>
          </w:p>
        </w:tc>
        <w:tc>
          <w:tcPr>
            <w:tcW w:w="6707" w:type="dxa"/>
          </w:tcPr>
          <w:p w14:paraId="6CAEEC2B" w14:textId="77777777" w:rsidR="009C38EA" w:rsidRPr="00383DBC" w:rsidRDefault="009C38EA" w:rsidP="00383DBC">
            <w:pPr>
              <w:rPr>
                <w:rFonts w:cs="Times New Roman"/>
                <w:sz w:val="24"/>
                <w:szCs w:val="24"/>
                <w:lang w:val="ru-RU"/>
              </w:rPr>
            </w:pPr>
            <w:r w:rsidRPr="00383DBC">
              <w:rPr>
                <w:rFonts w:cs="Times New Roman"/>
                <w:sz w:val="24"/>
                <w:szCs w:val="24"/>
                <w:lang w:val="ru-RU"/>
              </w:rPr>
              <w:t>Опоясывающий герпес</w:t>
            </w:r>
          </w:p>
        </w:tc>
      </w:tr>
      <w:tr w:rsidR="009C38EA" w:rsidRPr="00383DBC" w14:paraId="4F0443C1" w14:textId="77777777" w:rsidTr="00482FB1">
        <w:tc>
          <w:tcPr>
            <w:tcW w:w="2581" w:type="dxa"/>
          </w:tcPr>
          <w:p w14:paraId="5E1AB17D" w14:textId="77777777" w:rsidR="009C38EA" w:rsidRPr="00383DBC" w:rsidRDefault="009C38EA" w:rsidP="00383DBC">
            <w:pPr>
              <w:rPr>
                <w:rFonts w:cs="Times New Roman"/>
                <w:sz w:val="24"/>
                <w:szCs w:val="24"/>
                <w:lang w:val="ru-RU"/>
              </w:rPr>
            </w:pPr>
            <w:r w:rsidRPr="00383DBC">
              <w:rPr>
                <w:rFonts w:cs="Times New Roman"/>
                <w:sz w:val="24"/>
                <w:szCs w:val="24"/>
                <w:lang w:val="ru-RU"/>
              </w:rPr>
              <w:t>Редко</w:t>
            </w:r>
          </w:p>
        </w:tc>
        <w:tc>
          <w:tcPr>
            <w:tcW w:w="6707" w:type="dxa"/>
          </w:tcPr>
          <w:p w14:paraId="4117F44F" w14:textId="77777777" w:rsidR="009C38EA" w:rsidRPr="00383DBC" w:rsidRDefault="009C38EA" w:rsidP="00383DBC">
            <w:pPr>
              <w:rPr>
                <w:rFonts w:cs="Times New Roman"/>
                <w:sz w:val="24"/>
                <w:szCs w:val="24"/>
                <w:lang w:val="ru-RU"/>
              </w:rPr>
            </w:pPr>
            <w:r w:rsidRPr="00383DBC">
              <w:rPr>
                <w:rFonts w:cs="Times New Roman"/>
                <w:sz w:val="24"/>
                <w:szCs w:val="24"/>
                <w:lang w:val="ru-RU"/>
              </w:rPr>
              <w:t>Прогрессирующая мультифокальная лейкоэнцефалопатия</w:t>
            </w:r>
          </w:p>
        </w:tc>
      </w:tr>
      <w:tr w:rsidR="009C38EA" w:rsidRPr="00383DBC" w14:paraId="064684F4" w14:textId="77777777" w:rsidTr="00482FB1">
        <w:tc>
          <w:tcPr>
            <w:tcW w:w="2581" w:type="dxa"/>
          </w:tcPr>
          <w:p w14:paraId="71A820C5" w14:textId="77777777" w:rsidR="009C38EA" w:rsidRPr="00383DBC" w:rsidRDefault="009C38EA" w:rsidP="00383DBC">
            <w:pPr>
              <w:rPr>
                <w:rFonts w:cs="Times New Roman"/>
                <w:sz w:val="24"/>
                <w:szCs w:val="24"/>
                <w:lang w:val="ru-RU"/>
              </w:rPr>
            </w:pPr>
            <w:r w:rsidRPr="00383DBC">
              <w:rPr>
                <w:rFonts w:cs="Times New Roman"/>
                <w:sz w:val="24"/>
                <w:szCs w:val="24"/>
                <w:lang w:val="ru-RU"/>
              </w:rPr>
              <w:t>Неизвестно</w:t>
            </w:r>
          </w:p>
        </w:tc>
        <w:tc>
          <w:tcPr>
            <w:tcW w:w="6707" w:type="dxa"/>
          </w:tcPr>
          <w:p w14:paraId="59FE27B7" w14:textId="77777777" w:rsidR="009C38EA" w:rsidRPr="00383DBC" w:rsidRDefault="009C38EA" w:rsidP="00383DBC">
            <w:pPr>
              <w:rPr>
                <w:rFonts w:cs="Times New Roman"/>
                <w:sz w:val="24"/>
                <w:szCs w:val="24"/>
                <w:lang w:val="ru-RU"/>
              </w:rPr>
            </w:pPr>
            <w:r w:rsidRPr="00383DBC">
              <w:rPr>
                <w:rFonts w:cs="Times New Roman"/>
                <w:sz w:val="24"/>
                <w:szCs w:val="24"/>
                <w:lang w:val="ru-RU"/>
              </w:rPr>
              <w:t>Криптококковый менингит</w:t>
            </w:r>
          </w:p>
        </w:tc>
      </w:tr>
      <w:tr w:rsidR="009C38EA" w:rsidRPr="005818B4" w14:paraId="470B6F9C" w14:textId="77777777" w:rsidTr="00482FB1">
        <w:tc>
          <w:tcPr>
            <w:tcW w:w="9288" w:type="dxa"/>
            <w:gridSpan w:val="2"/>
          </w:tcPr>
          <w:p w14:paraId="5A674694" w14:textId="77777777" w:rsidR="009C38EA" w:rsidRPr="00383DBC" w:rsidRDefault="009C38EA" w:rsidP="00383DBC">
            <w:pPr>
              <w:pStyle w:val="211"/>
              <w:shd w:val="clear" w:color="auto" w:fill="auto"/>
              <w:spacing w:line="240" w:lineRule="auto"/>
              <w:ind w:firstLine="0"/>
              <w:rPr>
                <w:rStyle w:val="28"/>
                <w:rFonts w:ascii="Times New Roman" w:hAnsi="Times New Roman" w:cs="Times New Roman"/>
                <w:color w:val="000000"/>
                <w:sz w:val="24"/>
                <w:szCs w:val="24"/>
                <w:lang w:val="ru-RU"/>
              </w:rPr>
            </w:pPr>
            <w:r w:rsidRPr="00383DBC">
              <w:rPr>
                <w:rStyle w:val="28"/>
                <w:rFonts w:ascii="Times New Roman" w:hAnsi="Times New Roman" w:cs="Times New Roman"/>
                <w:color w:val="000000"/>
                <w:sz w:val="24"/>
                <w:szCs w:val="24"/>
                <w:lang w:val="ru-RU"/>
              </w:rPr>
              <w:t>Новообразования доброкачественные, злокачественные и неуточненные (включая кисты и полипы)</w:t>
            </w:r>
          </w:p>
        </w:tc>
      </w:tr>
      <w:tr w:rsidR="009C38EA" w:rsidRPr="00383DBC" w14:paraId="582F8F68" w14:textId="77777777" w:rsidTr="00482FB1">
        <w:tc>
          <w:tcPr>
            <w:tcW w:w="2581" w:type="dxa"/>
          </w:tcPr>
          <w:p w14:paraId="1CC59754" w14:textId="77777777" w:rsidR="009C38EA" w:rsidRPr="00383DBC" w:rsidRDefault="009C38EA" w:rsidP="00383DBC">
            <w:pPr>
              <w:pStyle w:val="211"/>
              <w:shd w:val="clear" w:color="auto" w:fill="auto"/>
              <w:spacing w:line="240" w:lineRule="auto"/>
              <w:ind w:firstLine="0"/>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Часто</w:t>
            </w:r>
          </w:p>
        </w:tc>
        <w:tc>
          <w:tcPr>
            <w:tcW w:w="6707" w:type="dxa"/>
          </w:tcPr>
          <w:p w14:paraId="634B3B51" w14:textId="328D01FB" w:rsidR="009C38EA" w:rsidRPr="00383DBC" w:rsidRDefault="009C38EA" w:rsidP="00482FB1">
            <w:pPr>
              <w:rPr>
                <w:rFonts w:cs="Times New Roman"/>
                <w:sz w:val="24"/>
                <w:szCs w:val="24"/>
                <w:lang w:val="ru-RU"/>
              </w:rPr>
            </w:pPr>
            <w:r w:rsidRPr="00383DBC">
              <w:rPr>
                <w:rFonts w:cs="Times New Roman"/>
                <w:sz w:val="24"/>
                <w:szCs w:val="24"/>
                <w:lang w:val="ru-RU"/>
              </w:rPr>
              <w:t>Меланоцитарный невус</w:t>
            </w:r>
            <w:r w:rsidR="00482FB1">
              <w:rPr>
                <w:rFonts w:cs="Times New Roman"/>
                <w:sz w:val="24"/>
                <w:szCs w:val="24"/>
                <w:lang w:val="ru-RU"/>
              </w:rPr>
              <w:t>, б</w:t>
            </w:r>
            <w:r w:rsidR="00482FB1" w:rsidRPr="00383DBC">
              <w:rPr>
                <w:rFonts w:cs="Times New Roman"/>
                <w:sz w:val="24"/>
                <w:szCs w:val="24"/>
                <w:lang w:val="ru-RU"/>
              </w:rPr>
              <w:t>азальноклеточная карцинома</w:t>
            </w:r>
          </w:p>
        </w:tc>
      </w:tr>
      <w:tr w:rsidR="009C38EA" w:rsidRPr="00383DBC" w14:paraId="3CC3E354" w14:textId="77777777" w:rsidTr="00482FB1">
        <w:tc>
          <w:tcPr>
            <w:tcW w:w="2581" w:type="dxa"/>
          </w:tcPr>
          <w:p w14:paraId="62C59E45" w14:textId="77777777" w:rsidR="009C38EA" w:rsidRPr="00383DBC" w:rsidRDefault="009C38EA" w:rsidP="00383DBC">
            <w:pPr>
              <w:pStyle w:val="211"/>
              <w:shd w:val="clear" w:color="auto" w:fill="auto"/>
              <w:spacing w:line="240" w:lineRule="auto"/>
              <w:ind w:firstLine="0"/>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Неизвестно</w:t>
            </w:r>
          </w:p>
        </w:tc>
        <w:tc>
          <w:tcPr>
            <w:tcW w:w="6707" w:type="dxa"/>
          </w:tcPr>
          <w:p w14:paraId="5255B314" w14:textId="77777777" w:rsidR="009C38EA" w:rsidRPr="00383DBC" w:rsidRDefault="009C38EA" w:rsidP="00383DBC">
            <w:pPr>
              <w:rPr>
                <w:rFonts w:cs="Times New Roman"/>
                <w:sz w:val="24"/>
                <w:szCs w:val="24"/>
                <w:lang w:val="ru-RU"/>
              </w:rPr>
            </w:pPr>
            <w:r w:rsidRPr="00383DBC">
              <w:rPr>
                <w:rFonts w:cs="Times New Roman"/>
                <w:sz w:val="24"/>
                <w:szCs w:val="24"/>
                <w:lang w:val="ru-RU"/>
              </w:rPr>
              <w:t>Сквамозно-клеточная карцинома</w:t>
            </w:r>
          </w:p>
        </w:tc>
      </w:tr>
      <w:tr w:rsidR="009C38EA" w:rsidRPr="005818B4" w14:paraId="690C3A5F" w14:textId="77777777" w:rsidTr="00482FB1">
        <w:tc>
          <w:tcPr>
            <w:tcW w:w="9288" w:type="dxa"/>
            <w:gridSpan w:val="2"/>
          </w:tcPr>
          <w:p w14:paraId="41F4D7EB" w14:textId="77777777" w:rsidR="009C38EA" w:rsidRPr="00383DBC" w:rsidRDefault="009C38EA" w:rsidP="00383DBC">
            <w:pPr>
              <w:pStyle w:val="211"/>
              <w:shd w:val="clear" w:color="auto" w:fill="auto"/>
              <w:spacing w:line="240" w:lineRule="auto"/>
              <w:ind w:firstLine="0"/>
              <w:rPr>
                <w:rStyle w:val="28"/>
                <w:rFonts w:ascii="Times New Roman" w:hAnsi="Times New Roman" w:cs="Times New Roman"/>
                <w:color w:val="000000"/>
                <w:sz w:val="24"/>
                <w:szCs w:val="24"/>
                <w:lang w:val="ru-RU"/>
              </w:rPr>
            </w:pPr>
            <w:r w:rsidRPr="00383DBC">
              <w:rPr>
                <w:rStyle w:val="28"/>
                <w:rFonts w:ascii="Times New Roman" w:hAnsi="Times New Roman" w:cs="Times New Roman"/>
                <w:color w:val="000000"/>
                <w:sz w:val="24"/>
                <w:szCs w:val="24"/>
                <w:lang w:val="ru-RU"/>
              </w:rPr>
              <w:t>Заболевания крови и лимфатической системы</w:t>
            </w:r>
          </w:p>
        </w:tc>
      </w:tr>
      <w:tr w:rsidR="009C38EA" w:rsidRPr="00383DBC" w14:paraId="4DCD7EFA" w14:textId="77777777" w:rsidTr="00482FB1">
        <w:tc>
          <w:tcPr>
            <w:tcW w:w="2581" w:type="dxa"/>
          </w:tcPr>
          <w:p w14:paraId="15282CD9" w14:textId="77777777" w:rsidR="009C38EA" w:rsidRPr="00383DBC" w:rsidRDefault="009C38EA" w:rsidP="00383DBC">
            <w:pPr>
              <w:pStyle w:val="211"/>
              <w:shd w:val="clear" w:color="auto" w:fill="auto"/>
              <w:spacing w:line="240" w:lineRule="auto"/>
              <w:ind w:firstLine="0"/>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Часто</w:t>
            </w:r>
          </w:p>
        </w:tc>
        <w:tc>
          <w:tcPr>
            <w:tcW w:w="6707" w:type="dxa"/>
          </w:tcPr>
          <w:p w14:paraId="414D4E9C" w14:textId="77777777" w:rsidR="009C38EA" w:rsidRPr="00383DBC" w:rsidRDefault="009C38EA" w:rsidP="00383DBC">
            <w:pPr>
              <w:pStyle w:val="211"/>
              <w:shd w:val="clear" w:color="auto" w:fill="auto"/>
              <w:spacing w:line="240" w:lineRule="auto"/>
              <w:ind w:firstLine="0"/>
              <w:rPr>
                <w:rStyle w:val="230"/>
                <w:rFonts w:ascii="Times New Roman" w:hAnsi="Times New Roman" w:cs="Times New Roman"/>
                <w:color w:val="000000"/>
                <w:sz w:val="24"/>
                <w:szCs w:val="24"/>
                <w:lang w:val="ru-RU"/>
              </w:rPr>
            </w:pPr>
            <w:r w:rsidRPr="00383DBC">
              <w:rPr>
                <w:rStyle w:val="230"/>
                <w:rFonts w:ascii="Times New Roman" w:hAnsi="Times New Roman" w:cs="Times New Roman"/>
                <w:color w:val="000000"/>
                <w:sz w:val="24"/>
                <w:szCs w:val="24"/>
                <w:lang w:val="ru-RU"/>
              </w:rPr>
              <w:t>Лимфопения</w:t>
            </w:r>
          </w:p>
        </w:tc>
      </w:tr>
      <w:tr w:rsidR="009C38EA" w:rsidRPr="00383DBC" w14:paraId="444BF050" w14:textId="77777777" w:rsidTr="00482FB1">
        <w:tc>
          <w:tcPr>
            <w:tcW w:w="9288" w:type="dxa"/>
            <w:gridSpan w:val="2"/>
          </w:tcPr>
          <w:p w14:paraId="5F8D2186" w14:textId="77777777" w:rsidR="009C38EA" w:rsidRPr="00383DBC" w:rsidRDefault="009C38EA" w:rsidP="00383DBC">
            <w:pPr>
              <w:pStyle w:val="211"/>
              <w:shd w:val="clear" w:color="auto" w:fill="auto"/>
              <w:spacing w:line="240" w:lineRule="auto"/>
              <w:ind w:firstLine="0"/>
              <w:rPr>
                <w:rStyle w:val="28"/>
                <w:rFonts w:ascii="Times New Roman" w:hAnsi="Times New Roman" w:cs="Times New Roman"/>
                <w:color w:val="000000"/>
                <w:sz w:val="24"/>
                <w:szCs w:val="24"/>
                <w:lang w:val="ru-RU"/>
              </w:rPr>
            </w:pPr>
            <w:r w:rsidRPr="00383DBC">
              <w:rPr>
                <w:rStyle w:val="28"/>
                <w:rFonts w:ascii="Times New Roman" w:hAnsi="Times New Roman" w:cs="Times New Roman"/>
                <w:color w:val="000000"/>
                <w:sz w:val="24"/>
                <w:szCs w:val="24"/>
                <w:lang w:val="ru-RU"/>
              </w:rPr>
              <w:t>Расстройства нервной системы</w:t>
            </w:r>
          </w:p>
        </w:tc>
      </w:tr>
      <w:tr w:rsidR="009C38EA" w:rsidRPr="00383DBC" w14:paraId="295BCA2D" w14:textId="77777777" w:rsidTr="00482FB1">
        <w:tc>
          <w:tcPr>
            <w:tcW w:w="2581" w:type="dxa"/>
          </w:tcPr>
          <w:p w14:paraId="304F16B6" w14:textId="77777777" w:rsidR="009C38EA" w:rsidRPr="00383DBC" w:rsidRDefault="009C38EA" w:rsidP="00383DBC">
            <w:pPr>
              <w:pStyle w:val="211"/>
              <w:shd w:val="clear" w:color="auto" w:fill="auto"/>
              <w:spacing w:line="240" w:lineRule="auto"/>
              <w:ind w:firstLine="0"/>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Очень часто</w:t>
            </w:r>
          </w:p>
        </w:tc>
        <w:tc>
          <w:tcPr>
            <w:tcW w:w="6707" w:type="dxa"/>
          </w:tcPr>
          <w:p w14:paraId="6527224D" w14:textId="77777777" w:rsidR="009C38EA" w:rsidRPr="00383DBC" w:rsidRDefault="009C38EA" w:rsidP="00383DBC">
            <w:pPr>
              <w:rPr>
                <w:rFonts w:cs="Times New Roman"/>
                <w:sz w:val="24"/>
                <w:szCs w:val="24"/>
                <w:lang w:val="ru-RU"/>
              </w:rPr>
            </w:pPr>
            <w:r w:rsidRPr="00383DBC">
              <w:rPr>
                <w:rFonts w:cs="Times New Roman"/>
                <w:sz w:val="24"/>
                <w:szCs w:val="24"/>
                <w:lang w:val="ru-RU"/>
              </w:rPr>
              <w:t>Головная боль</w:t>
            </w:r>
          </w:p>
        </w:tc>
      </w:tr>
      <w:tr w:rsidR="009C38EA" w:rsidRPr="00383DBC" w14:paraId="23E2221F" w14:textId="77777777" w:rsidTr="00482FB1">
        <w:tc>
          <w:tcPr>
            <w:tcW w:w="2581" w:type="dxa"/>
          </w:tcPr>
          <w:p w14:paraId="4167F0E5" w14:textId="77777777" w:rsidR="009C38EA" w:rsidRPr="00383DBC" w:rsidRDefault="009C38EA" w:rsidP="00383DBC">
            <w:pPr>
              <w:pStyle w:val="211"/>
              <w:shd w:val="clear" w:color="auto" w:fill="auto"/>
              <w:spacing w:line="240" w:lineRule="auto"/>
              <w:ind w:firstLine="0"/>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 xml:space="preserve">Часто </w:t>
            </w:r>
          </w:p>
        </w:tc>
        <w:tc>
          <w:tcPr>
            <w:tcW w:w="6707" w:type="dxa"/>
          </w:tcPr>
          <w:p w14:paraId="4B916525" w14:textId="4980436C" w:rsidR="009C38EA" w:rsidRPr="00383DBC" w:rsidRDefault="009C38EA" w:rsidP="00383DBC">
            <w:pPr>
              <w:rPr>
                <w:rFonts w:cs="Times New Roman"/>
                <w:sz w:val="24"/>
                <w:szCs w:val="24"/>
                <w:lang w:val="ru-RU"/>
              </w:rPr>
            </w:pPr>
            <w:r w:rsidRPr="00383DBC">
              <w:rPr>
                <w:rFonts w:cs="Times New Roman"/>
                <w:sz w:val="24"/>
                <w:szCs w:val="24"/>
                <w:lang w:val="ru-RU"/>
              </w:rPr>
              <w:t>Головокружение</w:t>
            </w:r>
            <w:r w:rsidR="00482FB1">
              <w:rPr>
                <w:rFonts w:cs="Times New Roman"/>
                <w:sz w:val="24"/>
                <w:szCs w:val="24"/>
                <w:lang w:val="ru-RU"/>
              </w:rPr>
              <w:t xml:space="preserve">, </w:t>
            </w:r>
            <w:r w:rsidR="00482FB1" w:rsidRPr="00383DBC">
              <w:rPr>
                <w:rFonts w:cs="Times New Roman"/>
                <w:sz w:val="24"/>
                <w:szCs w:val="24"/>
                <w:lang w:val="ru-RU"/>
              </w:rPr>
              <w:t>припадок</w:t>
            </w:r>
            <w:r w:rsidR="00482FB1">
              <w:rPr>
                <w:rFonts w:cs="Times New Roman"/>
                <w:sz w:val="24"/>
                <w:szCs w:val="24"/>
                <w:lang w:val="ru-RU"/>
              </w:rPr>
              <w:t xml:space="preserve">, </w:t>
            </w:r>
            <w:r w:rsidR="00482FB1" w:rsidRPr="00383DBC">
              <w:rPr>
                <w:rFonts w:cs="Times New Roman"/>
                <w:sz w:val="24"/>
                <w:szCs w:val="24"/>
                <w:lang w:val="ru-RU"/>
              </w:rPr>
              <w:t>дрожь</w:t>
            </w:r>
          </w:p>
        </w:tc>
      </w:tr>
      <w:tr w:rsidR="009C38EA" w:rsidRPr="00383DBC" w14:paraId="45B1ABF7" w14:textId="77777777" w:rsidTr="00482FB1">
        <w:tc>
          <w:tcPr>
            <w:tcW w:w="9288" w:type="dxa"/>
            <w:gridSpan w:val="2"/>
          </w:tcPr>
          <w:p w14:paraId="7E4F5D0D" w14:textId="77777777" w:rsidR="009C38EA" w:rsidRPr="00383DBC" w:rsidRDefault="009C38EA" w:rsidP="00383DBC">
            <w:pPr>
              <w:pStyle w:val="211"/>
              <w:shd w:val="clear" w:color="auto" w:fill="auto"/>
              <w:spacing w:line="240" w:lineRule="auto"/>
              <w:ind w:firstLine="0"/>
              <w:rPr>
                <w:rStyle w:val="28"/>
                <w:rFonts w:ascii="Times New Roman" w:hAnsi="Times New Roman" w:cs="Times New Roman"/>
                <w:color w:val="000000"/>
                <w:sz w:val="24"/>
                <w:szCs w:val="24"/>
                <w:lang w:val="ru-RU"/>
              </w:rPr>
            </w:pPr>
            <w:r w:rsidRPr="00383DBC">
              <w:rPr>
                <w:rStyle w:val="28"/>
                <w:rFonts w:ascii="Times New Roman" w:hAnsi="Times New Roman" w:cs="Times New Roman"/>
                <w:color w:val="000000"/>
                <w:sz w:val="24"/>
                <w:szCs w:val="24"/>
                <w:lang w:val="ru-RU"/>
              </w:rPr>
              <w:t>Глазные заболевания</w:t>
            </w:r>
          </w:p>
        </w:tc>
      </w:tr>
      <w:tr w:rsidR="009C38EA" w:rsidRPr="00383DBC" w14:paraId="2BDC27D3" w14:textId="77777777" w:rsidTr="00482FB1">
        <w:tc>
          <w:tcPr>
            <w:tcW w:w="2581" w:type="dxa"/>
          </w:tcPr>
          <w:p w14:paraId="4C1F0077" w14:textId="77777777" w:rsidR="009C38EA" w:rsidRPr="00383DBC" w:rsidRDefault="009C38EA" w:rsidP="00383DBC">
            <w:pPr>
              <w:pStyle w:val="211"/>
              <w:shd w:val="clear" w:color="auto" w:fill="auto"/>
              <w:spacing w:line="240" w:lineRule="auto"/>
              <w:ind w:firstLine="0"/>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Часто</w:t>
            </w:r>
          </w:p>
        </w:tc>
        <w:tc>
          <w:tcPr>
            <w:tcW w:w="6707" w:type="dxa"/>
          </w:tcPr>
          <w:p w14:paraId="5C61B7FC" w14:textId="77777777" w:rsidR="009C38EA" w:rsidRPr="00383DBC" w:rsidRDefault="009C38EA" w:rsidP="00383DBC">
            <w:pPr>
              <w:pStyle w:val="211"/>
              <w:shd w:val="clear" w:color="auto" w:fill="auto"/>
              <w:spacing w:line="240" w:lineRule="auto"/>
              <w:ind w:firstLine="0"/>
              <w:rPr>
                <w:rStyle w:val="230"/>
                <w:rFonts w:ascii="Times New Roman" w:hAnsi="Times New Roman" w:cs="Times New Roman"/>
                <w:color w:val="000000"/>
                <w:sz w:val="24"/>
                <w:szCs w:val="24"/>
                <w:lang w:val="ru-RU"/>
              </w:rPr>
            </w:pPr>
            <w:r w:rsidRPr="00383DBC">
              <w:rPr>
                <w:rStyle w:val="230"/>
                <w:rFonts w:ascii="Times New Roman" w:hAnsi="Times New Roman" w:cs="Times New Roman"/>
                <w:color w:val="000000"/>
                <w:sz w:val="24"/>
                <w:szCs w:val="24"/>
                <w:lang w:val="ru-RU"/>
              </w:rPr>
              <w:t>Макулярный отек</w:t>
            </w:r>
          </w:p>
        </w:tc>
      </w:tr>
      <w:tr w:rsidR="009C38EA" w:rsidRPr="00383DBC" w14:paraId="212AFF15" w14:textId="77777777" w:rsidTr="00482FB1">
        <w:tc>
          <w:tcPr>
            <w:tcW w:w="9288" w:type="dxa"/>
            <w:gridSpan w:val="2"/>
          </w:tcPr>
          <w:p w14:paraId="37F084FF" w14:textId="77777777" w:rsidR="009C38EA" w:rsidRPr="00383DBC" w:rsidRDefault="009C38EA" w:rsidP="00383DBC">
            <w:pPr>
              <w:pStyle w:val="211"/>
              <w:shd w:val="clear" w:color="auto" w:fill="auto"/>
              <w:spacing w:line="240" w:lineRule="auto"/>
              <w:ind w:firstLine="0"/>
              <w:rPr>
                <w:rStyle w:val="28"/>
                <w:rFonts w:ascii="Times New Roman" w:hAnsi="Times New Roman" w:cs="Times New Roman"/>
                <w:color w:val="000000"/>
                <w:sz w:val="24"/>
                <w:szCs w:val="24"/>
                <w:lang w:val="ru-RU"/>
              </w:rPr>
            </w:pPr>
            <w:r w:rsidRPr="00383DBC">
              <w:rPr>
                <w:rStyle w:val="28"/>
                <w:rFonts w:ascii="Times New Roman" w:hAnsi="Times New Roman" w:cs="Times New Roman"/>
                <w:color w:val="000000"/>
                <w:sz w:val="24"/>
                <w:szCs w:val="24"/>
                <w:lang w:val="ru-RU"/>
              </w:rPr>
              <w:t>Сердечные заболевания</w:t>
            </w:r>
          </w:p>
        </w:tc>
      </w:tr>
      <w:tr w:rsidR="009C38EA" w:rsidRPr="005818B4" w14:paraId="624379BB" w14:textId="77777777" w:rsidTr="00482FB1">
        <w:tc>
          <w:tcPr>
            <w:tcW w:w="2581" w:type="dxa"/>
          </w:tcPr>
          <w:p w14:paraId="0988974F" w14:textId="77777777" w:rsidR="009C38EA" w:rsidRPr="00383DBC" w:rsidRDefault="009C38EA" w:rsidP="00383DBC">
            <w:pPr>
              <w:pStyle w:val="211"/>
              <w:shd w:val="clear" w:color="auto" w:fill="auto"/>
              <w:spacing w:line="240" w:lineRule="auto"/>
              <w:ind w:firstLine="0"/>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Часто</w:t>
            </w:r>
          </w:p>
        </w:tc>
        <w:tc>
          <w:tcPr>
            <w:tcW w:w="6707" w:type="dxa"/>
          </w:tcPr>
          <w:p w14:paraId="129B1363" w14:textId="32ADC073" w:rsidR="009C38EA" w:rsidRPr="00383DBC" w:rsidRDefault="00482FB1" w:rsidP="00482FB1">
            <w:pPr>
              <w:pStyle w:val="211"/>
              <w:spacing w:line="240" w:lineRule="auto"/>
              <w:ind w:hanging="5"/>
              <w:rPr>
                <w:rStyle w:val="230"/>
                <w:rFonts w:ascii="Times New Roman" w:hAnsi="Times New Roman" w:cs="Times New Roman"/>
                <w:color w:val="000000"/>
                <w:sz w:val="24"/>
                <w:szCs w:val="24"/>
                <w:lang w:val="ru-RU"/>
              </w:rPr>
            </w:pPr>
            <w:r>
              <w:rPr>
                <w:rStyle w:val="230"/>
                <w:rFonts w:ascii="Times New Roman" w:hAnsi="Times New Roman" w:cs="Times New Roman"/>
                <w:color w:val="000000"/>
                <w:sz w:val="24"/>
                <w:szCs w:val="24"/>
                <w:lang w:val="ru-RU"/>
              </w:rPr>
              <w:t>Брадикардия, а</w:t>
            </w:r>
            <w:r w:rsidR="009C38EA" w:rsidRPr="00383DBC">
              <w:rPr>
                <w:rStyle w:val="230"/>
                <w:rFonts w:ascii="Times New Roman" w:hAnsi="Times New Roman" w:cs="Times New Roman"/>
                <w:color w:val="000000"/>
                <w:sz w:val="24"/>
                <w:szCs w:val="24"/>
                <w:lang w:val="ru-RU"/>
              </w:rPr>
              <w:t>триовентрикулярная блокада (первой и второй степени)</w:t>
            </w:r>
          </w:p>
        </w:tc>
      </w:tr>
      <w:tr w:rsidR="009C38EA" w:rsidRPr="00383DBC" w14:paraId="4A358D0A" w14:textId="77777777" w:rsidTr="00482FB1">
        <w:tc>
          <w:tcPr>
            <w:tcW w:w="9288" w:type="dxa"/>
            <w:gridSpan w:val="2"/>
          </w:tcPr>
          <w:p w14:paraId="51A1E0AF" w14:textId="77777777" w:rsidR="009C38EA" w:rsidRPr="00383DBC" w:rsidRDefault="009C38EA" w:rsidP="00383DBC">
            <w:pPr>
              <w:pStyle w:val="211"/>
              <w:shd w:val="clear" w:color="auto" w:fill="auto"/>
              <w:spacing w:line="240" w:lineRule="auto"/>
              <w:ind w:firstLine="0"/>
              <w:rPr>
                <w:rStyle w:val="28"/>
                <w:rFonts w:ascii="Times New Roman" w:hAnsi="Times New Roman" w:cs="Times New Roman"/>
                <w:color w:val="000000"/>
                <w:sz w:val="24"/>
                <w:szCs w:val="24"/>
                <w:lang w:val="ru-RU"/>
              </w:rPr>
            </w:pPr>
            <w:r w:rsidRPr="00383DBC">
              <w:rPr>
                <w:rStyle w:val="28"/>
                <w:rFonts w:ascii="Times New Roman" w:hAnsi="Times New Roman" w:cs="Times New Roman"/>
                <w:color w:val="000000"/>
                <w:sz w:val="24"/>
                <w:szCs w:val="24"/>
                <w:lang w:val="ru-RU"/>
              </w:rPr>
              <w:t>Сосудистые заболевания</w:t>
            </w:r>
          </w:p>
        </w:tc>
      </w:tr>
      <w:tr w:rsidR="009C38EA" w:rsidRPr="00383DBC" w14:paraId="0BB47205" w14:textId="77777777" w:rsidTr="00482FB1">
        <w:tc>
          <w:tcPr>
            <w:tcW w:w="2581" w:type="dxa"/>
          </w:tcPr>
          <w:p w14:paraId="03708EF4" w14:textId="77777777" w:rsidR="009C38EA" w:rsidRPr="00383DBC" w:rsidRDefault="009C38EA" w:rsidP="00383DBC">
            <w:pPr>
              <w:pStyle w:val="211"/>
              <w:shd w:val="clear" w:color="auto" w:fill="auto"/>
              <w:spacing w:line="240" w:lineRule="auto"/>
              <w:ind w:firstLine="0"/>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Очень часто</w:t>
            </w:r>
          </w:p>
        </w:tc>
        <w:tc>
          <w:tcPr>
            <w:tcW w:w="6707" w:type="dxa"/>
          </w:tcPr>
          <w:p w14:paraId="1028E3B6" w14:textId="77777777" w:rsidR="009C38EA" w:rsidRPr="00383DBC" w:rsidRDefault="009C38EA" w:rsidP="00383DBC">
            <w:pPr>
              <w:pStyle w:val="211"/>
              <w:shd w:val="clear" w:color="auto" w:fill="auto"/>
              <w:spacing w:line="240" w:lineRule="auto"/>
              <w:ind w:firstLine="0"/>
              <w:rPr>
                <w:rStyle w:val="230"/>
                <w:rFonts w:ascii="Times New Roman" w:hAnsi="Times New Roman" w:cs="Times New Roman"/>
                <w:color w:val="000000"/>
                <w:sz w:val="24"/>
                <w:szCs w:val="24"/>
                <w:lang w:val="ru-RU"/>
              </w:rPr>
            </w:pPr>
            <w:r w:rsidRPr="00383DBC">
              <w:rPr>
                <w:rStyle w:val="230"/>
                <w:rFonts w:ascii="Times New Roman" w:hAnsi="Times New Roman" w:cs="Times New Roman"/>
                <w:color w:val="000000"/>
                <w:sz w:val="24"/>
                <w:szCs w:val="24"/>
                <w:lang w:val="ru-RU"/>
              </w:rPr>
              <w:t>Гипертония</w:t>
            </w:r>
          </w:p>
        </w:tc>
      </w:tr>
      <w:tr w:rsidR="009C38EA" w:rsidRPr="00383DBC" w14:paraId="66430823" w14:textId="77777777" w:rsidTr="00482FB1">
        <w:tc>
          <w:tcPr>
            <w:tcW w:w="9288" w:type="dxa"/>
            <w:gridSpan w:val="2"/>
          </w:tcPr>
          <w:p w14:paraId="2486E66F" w14:textId="77777777" w:rsidR="009C38EA" w:rsidRPr="00383DBC" w:rsidRDefault="009C38EA" w:rsidP="00383DBC">
            <w:pPr>
              <w:pStyle w:val="211"/>
              <w:shd w:val="clear" w:color="auto" w:fill="auto"/>
              <w:spacing w:line="240" w:lineRule="auto"/>
              <w:ind w:firstLine="0"/>
              <w:rPr>
                <w:rStyle w:val="28"/>
                <w:rFonts w:ascii="Times New Roman" w:hAnsi="Times New Roman" w:cs="Times New Roman"/>
                <w:color w:val="000000"/>
                <w:sz w:val="24"/>
                <w:szCs w:val="24"/>
                <w:lang w:val="ru-RU"/>
              </w:rPr>
            </w:pPr>
            <w:r w:rsidRPr="00383DBC">
              <w:rPr>
                <w:rStyle w:val="28"/>
                <w:rFonts w:ascii="Times New Roman" w:hAnsi="Times New Roman" w:cs="Times New Roman"/>
                <w:color w:val="000000"/>
                <w:sz w:val="24"/>
                <w:szCs w:val="24"/>
                <w:lang w:val="ru-RU"/>
              </w:rPr>
              <w:t>Желудочно-кишечные расстройства</w:t>
            </w:r>
          </w:p>
        </w:tc>
      </w:tr>
      <w:tr w:rsidR="009C38EA" w:rsidRPr="00383DBC" w14:paraId="2D6FCA07" w14:textId="77777777" w:rsidTr="00482FB1">
        <w:tc>
          <w:tcPr>
            <w:tcW w:w="2581" w:type="dxa"/>
          </w:tcPr>
          <w:p w14:paraId="349C226C" w14:textId="77777777" w:rsidR="009C38EA" w:rsidRPr="00383DBC" w:rsidRDefault="009C38EA" w:rsidP="00383DBC">
            <w:pPr>
              <w:pStyle w:val="211"/>
              <w:shd w:val="clear" w:color="auto" w:fill="auto"/>
              <w:spacing w:line="240" w:lineRule="auto"/>
              <w:ind w:firstLine="0"/>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Часто</w:t>
            </w:r>
          </w:p>
        </w:tc>
        <w:tc>
          <w:tcPr>
            <w:tcW w:w="6707" w:type="dxa"/>
          </w:tcPr>
          <w:p w14:paraId="34FEC8F2" w14:textId="2B119048" w:rsidR="009C38EA" w:rsidRPr="00383DBC" w:rsidRDefault="00482FB1" w:rsidP="00482FB1">
            <w:pPr>
              <w:pStyle w:val="211"/>
              <w:spacing w:line="240" w:lineRule="auto"/>
              <w:ind w:hanging="5"/>
              <w:rPr>
                <w:rStyle w:val="230"/>
                <w:rFonts w:ascii="Times New Roman" w:hAnsi="Times New Roman" w:cs="Times New Roman"/>
                <w:color w:val="000000"/>
                <w:sz w:val="24"/>
                <w:szCs w:val="24"/>
                <w:lang w:val="ru-RU"/>
              </w:rPr>
            </w:pPr>
            <w:r>
              <w:rPr>
                <w:rStyle w:val="230"/>
                <w:rFonts w:ascii="Times New Roman" w:hAnsi="Times New Roman" w:cs="Times New Roman"/>
                <w:color w:val="000000"/>
                <w:sz w:val="24"/>
                <w:szCs w:val="24"/>
                <w:lang w:val="ru-RU"/>
              </w:rPr>
              <w:t>Тошнота, д</w:t>
            </w:r>
            <w:r w:rsidR="009C38EA" w:rsidRPr="00383DBC">
              <w:rPr>
                <w:rStyle w:val="230"/>
                <w:rFonts w:ascii="Times New Roman" w:hAnsi="Times New Roman" w:cs="Times New Roman"/>
                <w:color w:val="000000"/>
                <w:sz w:val="24"/>
                <w:szCs w:val="24"/>
                <w:lang w:val="ru-RU"/>
              </w:rPr>
              <w:t>иарея</w:t>
            </w:r>
          </w:p>
        </w:tc>
      </w:tr>
      <w:tr w:rsidR="009C38EA" w:rsidRPr="005818B4" w14:paraId="6542E22D" w14:textId="77777777" w:rsidTr="00482FB1">
        <w:tc>
          <w:tcPr>
            <w:tcW w:w="9288" w:type="dxa"/>
            <w:gridSpan w:val="2"/>
          </w:tcPr>
          <w:p w14:paraId="34A6276A" w14:textId="77777777" w:rsidR="009C38EA" w:rsidRPr="00383DBC" w:rsidRDefault="009C38EA" w:rsidP="00383DBC">
            <w:pPr>
              <w:pStyle w:val="211"/>
              <w:shd w:val="clear" w:color="auto" w:fill="auto"/>
              <w:spacing w:line="240" w:lineRule="auto"/>
              <w:ind w:firstLine="0"/>
              <w:rPr>
                <w:rStyle w:val="28"/>
                <w:rFonts w:ascii="Times New Roman" w:hAnsi="Times New Roman" w:cs="Times New Roman"/>
                <w:color w:val="000000"/>
                <w:sz w:val="24"/>
                <w:szCs w:val="24"/>
                <w:lang w:val="ru-RU"/>
              </w:rPr>
            </w:pPr>
            <w:r w:rsidRPr="00383DBC">
              <w:rPr>
                <w:rStyle w:val="28"/>
                <w:rFonts w:ascii="Times New Roman" w:hAnsi="Times New Roman" w:cs="Times New Roman"/>
                <w:color w:val="000000"/>
                <w:sz w:val="24"/>
                <w:szCs w:val="24"/>
                <w:lang w:val="ru-RU"/>
              </w:rPr>
              <w:t>Заболевания опорно-двигательного аппарата и соединительной ткани</w:t>
            </w:r>
          </w:p>
        </w:tc>
      </w:tr>
      <w:tr w:rsidR="009C38EA" w:rsidRPr="00383DBC" w14:paraId="0C02AA5A" w14:textId="77777777" w:rsidTr="00482FB1">
        <w:tc>
          <w:tcPr>
            <w:tcW w:w="2581" w:type="dxa"/>
          </w:tcPr>
          <w:p w14:paraId="51EBBBED" w14:textId="77777777" w:rsidR="009C38EA" w:rsidRPr="00383DBC" w:rsidRDefault="009C38EA" w:rsidP="00383DBC">
            <w:pPr>
              <w:pStyle w:val="211"/>
              <w:shd w:val="clear" w:color="auto" w:fill="auto"/>
              <w:spacing w:line="240" w:lineRule="auto"/>
              <w:ind w:firstLine="0"/>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Часто</w:t>
            </w:r>
          </w:p>
        </w:tc>
        <w:tc>
          <w:tcPr>
            <w:tcW w:w="6707" w:type="dxa"/>
          </w:tcPr>
          <w:p w14:paraId="5B955C4C" w14:textId="77777777" w:rsidR="009C38EA" w:rsidRPr="00383DBC" w:rsidRDefault="009C38EA" w:rsidP="00383DBC">
            <w:pPr>
              <w:pStyle w:val="211"/>
              <w:shd w:val="clear" w:color="auto" w:fill="auto"/>
              <w:spacing w:line="240" w:lineRule="auto"/>
              <w:ind w:firstLine="0"/>
              <w:rPr>
                <w:rStyle w:val="230"/>
                <w:rFonts w:ascii="Times New Roman" w:hAnsi="Times New Roman" w:cs="Times New Roman"/>
                <w:color w:val="000000"/>
                <w:sz w:val="24"/>
                <w:szCs w:val="24"/>
                <w:lang w:val="ru-RU"/>
              </w:rPr>
            </w:pPr>
            <w:r w:rsidRPr="00383DBC">
              <w:rPr>
                <w:rStyle w:val="230"/>
                <w:rFonts w:ascii="Times New Roman" w:hAnsi="Times New Roman" w:cs="Times New Roman"/>
                <w:color w:val="000000"/>
                <w:sz w:val="24"/>
                <w:szCs w:val="24"/>
                <w:lang w:val="ru-RU"/>
              </w:rPr>
              <w:t>Боль в конечностях</w:t>
            </w:r>
          </w:p>
        </w:tc>
      </w:tr>
      <w:tr w:rsidR="009C38EA" w:rsidRPr="005818B4" w14:paraId="121F75DC" w14:textId="77777777" w:rsidTr="00482FB1">
        <w:tc>
          <w:tcPr>
            <w:tcW w:w="9288" w:type="dxa"/>
            <w:gridSpan w:val="2"/>
          </w:tcPr>
          <w:p w14:paraId="5D4DF0E5" w14:textId="77777777" w:rsidR="009C38EA" w:rsidRPr="00383DBC" w:rsidRDefault="009C38EA" w:rsidP="00383DBC">
            <w:pPr>
              <w:pStyle w:val="211"/>
              <w:shd w:val="clear" w:color="auto" w:fill="auto"/>
              <w:spacing w:line="240" w:lineRule="auto"/>
              <w:ind w:firstLine="0"/>
              <w:rPr>
                <w:rStyle w:val="28"/>
                <w:rFonts w:ascii="Times New Roman" w:hAnsi="Times New Roman" w:cs="Times New Roman"/>
                <w:color w:val="000000"/>
                <w:sz w:val="24"/>
                <w:szCs w:val="24"/>
                <w:lang w:val="ru-RU"/>
              </w:rPr>
            </w:pPr>
            <w:r w:rsidRPr="00383DBC">
              <w:rPr>
                <w:rStyle w:val="28"/>
                <w:rFonts w:ascii="Times New Roman" w:hAnsi="Times New Roman" w:cs="Times New Roman"/>
                <w:color w:val="000000"/>
                <w:sz w:val="24"/>
                <w:szCs w:val="24"/>
                <w:lang w:val="ru-RU"/>
              </w:rPr>
              <w:t>Общие расстройства и состояния в месте введения</w:t>
            </w:r>
          </w:p>
        </w:tc>
      </w:tr>
      <w:tr w:rsidR="009C38EA" w:rsidRPr="00383DBC" w14:paraId="737B0654" w14:textId="77777777" w:rsidTr="00482FB1">
        <w:tc>
          <w:tcPr>
            <w:tcW w:w="2581" w:type="dxa"/>
          </w:tcPr>
          <w:p w14:paraId="5BF92547" w14:textId="77777777" w:rsidR="009C38EA" w:rsidRPr="00383DBC" w:rsidRDefault="009C38EA" w:rsidP="00383DBC">
            <w:pPr>
              <w:pStyle w:val="211"/>
              <w:shd w:val="clear" w:color="auto" w:fill="auto"/>
              <w:spacing w:line="240" w:lineRule="auto"/>
              <w:ind w:firstLine="0"/>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Часто</w:t>
            </w:r>
          </w:p>
        </w:tc>
        <w:tc>
          <w:tcPr>
            <w:tcW w:w="6707" w:type="dxa"/>
          </w:tcPr>
          <w:p w14:paraId="34386B59" w14:textId="2E5BCD00" w:rsidR="009C38EA" w:rsidRPr="00383DBC" w:rsidRDefault="00482FB1" w:rsidP="00482FB1">
            <w:pPr>
              <w:pStyle w:val="211"/>
              <w:shd w:val="clear" w:color="auto" w:fill="auto"/>
              <w:spacing w:line="240" w:lineRule="auto"/>
              <w:ind w:firstLine="0"/>
              <w:rPr>
                <w:rStyle w:val="230"/>
                <w:rFonts w:ascii="Times New Roman" w:hAnsi="Times New Roman" w:cs="Times New Roman"/>
                <w:color w:val="000000"/>
                <w:sz w:val="24"/>
                <w:szCs w:val="24"/>
                <w:lang w:val="ru-RU"/>
              </w:rPr>
            </w:pPr>
            <w:r>
              <w:rPr>
                <w:rStyle w:val="230"/>
                <w:rFonts w:ascii="Times New Roman" w:hAnsi="Times New Roman" w:cs="Times New Roman"/>
                <w:color w:val="000000"/>
                <w:sz w:val="24"/>
                <w:szCs w:val="24"/>
                <w:lang w:val="ru-RU"/>
              </w:rPr>
              <w:t>Отек периферический, а</w:t>
            </w:r>
            <w:r w:rsidRPr="00383DBC">
              <w:rPr>
                <w:rStyle w:val="230"/>
                <w:rFonts w:ascii="Times New Roman" w:hAnsi="Times New Roman" w:cs="Times New Roman"/>
                <w:color w:val="000000"/>
                <w:sz w:val="24"/>
                <w:szCs w:val="24"/>
                <w:lang w:val="ru-RU"/>
              </w:rPr>
              <w:t>стения</w:t>
            </w:r>
          </w:p>
        </w:tc>
      </w:tr>
      <w:tr w:rsidR="009C38EA" w:rsidRPr="00383DBC" w14:paraId="37114BF0" w14:textId="77777777" w:rsidTr="00482FB1">
        <w:tc>
          <w:tcPr>
            <w:tcW w:w="9288" w:type="dxa"/>
            <w:gridSpan w:val="2"/>
          </w:tcPr>
          <w:p w14:paraId="51AEB98E" w14:textId="277984B7" w:rsidR="009C38EA" w:rsidRPr="00383DBC" w:rsidRDefault="00C234DC" w:rsidP="00383DBC">
            <w:pPr>
              <w:pStyle w:val="211"/>
              <w:shd w:val="clear" w:color="auto" w:fill="auto"/>
              <w:spacing w:line="240" w:lineRule="auto"/>
              <w:ind w:firstLine="0"/>
              <w:rPr>
                <w:rFonts w:ascii="Times New Roman" w:hAnsi="Times New Roman" w:cs="Times New Roman"/>
                <w:sz w:val="24"/>
                <w:szCs w:val="24"/>
                <w:lang w:val="ru-RU"/>
              </w:rPr>
            </w:pPr>
            <w:r>
              <w:rPr>
                <w:rStyle w:val="28"/>
                <w:rFonts w:ascii="Times New Roman" w:hAnsi="Times New Roman" w:cs="Times New Roman"/>
                <w:color w:val="000000"/>
                <w:sz w:val="24"/>
                <w:szCs w:val="24"/>
                <w:lang w:val="ru-RU"/>
              </w:rPr>
              <w:t>Лабораторные исследования</w:t>
            </w:r>
            <w:r w:rsidR="009C38EA" w:rsidRPr="00383DBC">
              <w:rPr>
                <w:rStyle w:val="28"/>
                <w:rFonts w:ascii="Times New Roman" w:hAnsi="Times New Roman" w:cs="Times New Roman"/>
                <w:color w:val="000000"/>
                <w:sz w:val="24"/>
                <w:szCs w:val="24"/>
                <w:lang w:val="ru-RU"/>
              </w:rPr>
              <w:t xml:space="preserve"> </w:t>
            </w:r>
          </w:p>
        </w:tc>
      </w:tr>
      <w:tr w:rsidR="009C38EA" w:rsidRPr="00383DBC" w14:paraId="7F243757" w14:textId="77777777" w:rsidTr="00482FB1">
        <w:tc>
          <w:tcPr>
            <w:tcW w:w="2581" w:type="dxa"/>
          </w:tcPr>
          <w:p w14:paraId="2D9AF760" w14:textId="77777777" w:rsidR="009C38EA" w:rsidRPr="00383DBC" w:rsidRDefault="009C38EA" w:rsidP="00383DBC">
            <w:pPr>
              <w:pStyle w:val="211"/>
              <w:shd w:val="clear" w:color="auto" w:fill="auto"/>
              <w:spacing w:line="240" w:lineRule="auto"/>
              <w:ind w:firstLine="0"/>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Очень часто</w:t>
            </w:r>
          </w:p>
        </w:tc>
        <w:tc>
          <w:tcPr>
            <w:tcW w:w="6707" w:type="dxa"/>
          </w:tcPr>
          <w:p w14:paraId="2D10F8C4" w14:textId="77777777" w:rsidR="009C38EA" w:rsidRPr="00383DBC" w:rsidRDefault="009C38EA" w:rsidP="00383DBC">
            <w:pPr>
              <w:rPr>
                <w:rFonts w:cs="Times New Roman"/>
                <w:sz w:val="24"/>
                <w:szCs w:val="24"/>
                <w:lang w:val="ru-RU"/>
              </w:rPr>
            </w:pPr>
            <w:r w:rsidRPr="00383DBC">
              <w:rPr>
                <w:rFonts w:cs="Times New Roman"/>
                <w:sz w:val="24"/>
                <w:szCs w:val="24"/>
                <w:lang w:val="ru-RU"/>
              </w:rPr>
              <w:t>Повышение функциональных проб печени</w:t>
            </w:r>
          </w:p>
        </w:tc>
      </w:tr>
      <w:tr w:rsidR="009C38EA" w:rsidRPr="00383DBC" w14:paraId="1607D324" w14:textId="77777777" w:rsidTr="00482FB1">
        <w:tc>
          <w:tcPr>
            <w:tcW w:w="2581" w:type="dxa"/>
          </w:tcPr>
          <w:p w14:paraId="2B6BF107" w14:textId="77777777" w:rsidR="009C38EA" w:rsidRPr="00383DBC" w:rsidRDefault="009C38EA" w:rsidP="00383DBC">
            <w:pPr>
              <w:pStyle w:val="211"/>
              <w:shd w:val="clear" w:color="auto" w:fill="auto"/>
              <w:spacing w:line="240" w:lineRule="auto"/>
              <w:ind w:firstLine="0"/>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Часто</w:t>
            </w:r>
          </w:p>
        </w:tc>
        <w:tc>
          <w:tcPr>
            <w:tcW w:w="6707" w:type="dxa"/>
          </w:tcPr>
          <w:p w14:paraId="670A6D16" w14:textId="77777777" w:rsidR="009C38EA" w:rsidRPr="00383DBC" w:rsidRDefault="009C38EA" w:rsidP="00383DBC">
            <w:pPr>
              <w:rPr>
                <w:rFonts w:cs="Times New Roman"/>
                <w:sz w:val="24"/>
                <w:szCs w:val="24"/>
                <w:lang w:val="ru-RU"/>
              </w:rPr>
            </w:pPr>
            <w:r w:rsidRPr="00383DBC">
              <w:rPr>
                <w:rFonts w:cs="Times New Roman"/>
                <w:sz w:val="24"/>
                <w:szCs w:val="24"/>
                <w:lang w:val="ru-RU"/>
              </w:rPr>
              <w:t>Снижение функциональных проб легких</w:t>
            </w:r>
          </w:p>
        </w:tc>
      </w:tr>
    </w:tbl>
    <w:p w14:paraId="39875BB5" w14:textId="77777777" w:rsidR="009C38EA" w:rsidRPr="00383DBC" w:rsidRDefault="009C38EA" w:rsidP="002B0543">
      <w:pPr>
        <w:jc w:val="both"/>
        <w:rPr>
          <w:rFonts w:cs="Times New Roman"/>
          <w:sz w:val="24"/>
          <w:szCs w:val="24"/>
          <w:lang w:val="ru-RU"/>
        </w:rPr>
      </w:pPr>
    </w:p>
    <w:p w14:paraId="2041BB7C" w14:textId="77777777" w:rsidR="009C38EA" w:rsidRPr="00383DBC" w:rsidRDefault="009C38EA" w:rsidP="002B0543">
      <w:pPr>
        <w:jc w:val="both"/>
        <w:rPr>
          <w:rFonts w:cs="Times New Roman"/>
          <w:sz w:val="24"/>
          <w:szCs w:val="24"/>
          <w:u w:val="single"/>
          <w:lang w:val="ru-RU"/>
        </w:rPr>
      </w:pPr>
      <w:r w:rsidRPr="00383DBC">
        <w:rPr>
          <w:rFonts w:cs="Times New Roman"/>
          <w:sz w:val="24"/>
          <w:szCs w:val="24"/>
          <w:u w:val="single"/>
          <w:lang w:val="ru-RU"/>
        </w:rPr>
        <w:t>Описание отдельных побочных реакций</w:t>
      </w:r>
    </w:p>
    <w:p w14:paraId="14C244B7" w14:textId="77777777" w:rsidR="009C38EA" w:rsidRPr="00383DBC" w:rsidRDefault="009C38EA" w:rsidP="002B0543">
      <w:pPr>
        <w:jc w:val="both"/>
        <w:rPr>
          <w:rFonts w:cs="Times New Roman"/>
          <w:i/>
          <w:iCs/>
          <w:sz w:val="24"/>
          <w:szCs w:val="24"/>
          <w:u w:val="single"/>
          <w:lang w:val="ru-RU"/>
        </w:rPr>
      </w:pPr>
      <w:r w:rsidRPr="00383DBC">
        <w:rPr>
          <w:rFonts w:cs="Times New Roman"/>
          <w:i/>
          <w:iCs/>
          <w:sz w:val="24"/>
          <w:szCs w:val="24"/>
          <w:u w:val="single"/>
          <w:lang w:val="ru-RU"/>
        </w:rPr>
        <w:t>Инфекции</w:t>
      </w:r>
    </w:p>
    <w:p w14:paraId="494224FB" w14:textId="466F6CF1" w:rsidR="009C38EA" w:rsidRPr="00C234DC" w:rsidRDefault="009C38EA" w:rsidP="002B0543">
      <w:pPr>
        <w:jc w:val="both"/>
        <w:rPr>
          <w:rFonts w:cs="Times New Roman"/>
          <w:sz w:val="24"/>
          <w:szCs w:val="24"/>
          <w:lang w:val="ru-RU"/>
        </w:rPr>
      </w:pPr>
      <w:r w:rsidRPr="00383DBC">
        <w:rPr>
          <w:rFonts w:cs="Times New Roman"/>
          <w:sz w:val="24"/>
          <w:szCs w:val="24"/>
          <w:lang w:val="ru-RU"/>
        </w:rPr>
        <w:t>В клиническом исследовании III фазы у пациентов с вторично-прогрессирующим рассеянным склерозом общая частота инфекций была сопоставима между пациентами, приним</w:t>
      </w:r>
      <w:r w:rsidR="00482FB1">
        <w:rPr>
          <w:rFonts w:cs="Times New Roman"/>
          <w:sz w:val="24"/>
          <w:szCs w:val="24"/>
          <w:lang w:val="ru-RU"/>
        </w:rPr>
        <w:t>авшими сипонимод и плацебо (49 </w:t>
      </w:r>
      <w:r w:rsidRPr="00383DBC">
        <w:rPr>
          <w:rFonts w:cs="Times New Roman"/>
          <w:sz w:val="24"/>
          <w:szCs w:val="24"/>
          <w:lang w:val="ru-RU"/>
        </w:rPr>
        <w:t>% против 49,1</w:t>
      </w:r>
      <w:r w:rsidR="00482FB1">
        <w:rPr>
          <w:rFonts w:cs="Times New Roman"/>
          <w:sz w:val="24"/>
          <w:szCs w:val="24"/>
          <w:lang w:val="ru-RU"/>
        </w:rPr>
        <w:t> </w:t>
      </w:r>
      <w:r w:rsidRPr="00383DBC">
        <w:rPr>
          <w:rFonts w:cs="Times New Roman"/>
          <w:sz w:val="24"/>
          <w:szCs w:val="24"/>
          <w:lang w:val="ru-RU"/>
        </w:rPr>
        <w:t>%, соответственно). Однако</w:t>
      </w:r>
      <w:r w:rsidR="00482FB1">
        <w:rPr>
          <w:rFonts w:cs="Times New Roman"/>
          <w:sz w:val="24"/>
          <w:szCs w:val="24"/>
          <w:lang w:val="ru-RU"/>
        </w:rPr>
        <w:t> </w:t>
      </w:r>
      <w:r w:rsidRPr="00383DBC">
        <w:rPr>
          <w:rFonts w:cs="Times New Roman"/>
          <w:sz w:val="24"/>
          <w:szCs w:val="24"/>
          <w:lang w:val="ru-RU"/>
        </w:rPr>
        <w:t>при приеме сипонимода отмечалось увеличение частоты инфекций, вызванных опоясывающим герпесом (2,5</w:t>
      </w:r>
      <w:r w:rsidR="00482FB1">
        <w:rPr>
          <w:rFonts w:cs="Times New Roman"/>
          <w:sz w:val="24"/>
          <w:szCs w:val="24"/>
          <w:lang w:val="ru-RU"/>
        </w:rPr>
        <w:t> </w:t>
      </w:r>
      <w:r w:rsidRPr="00383DBC">
        <w:rPr>
          <w:rFonts w:cs="Times New Roman"/>
          <w:sz w:val="24"/>
          <w:szCs w:val="24"/>
          <w:lang w:val="ru-RU"/>
        </w:rPr>
        <w:t>%), по сравнению с плацебо (0,7</w:t>
      </w:r>
      <w:r w:rsidR="00482FB1">
        <w:rPr>
          <w:rFonts w:cs="Times New Roman"/>
          <w:sz w:val="24"/>
          <w:szCs w:val="24"/>
          <w:lang w:val="ru-RU"/>
        </w:rPr>
        <w:t> </w:t>
      </w:r>
      <w:r w:rsidRPr="00383DBC">
        <w:rPr>
          <w:rFonts w:cs="Times New Roman"/>
          <w:sz w:val="24"/>
          <w:szCs w:val="24"/>
          <w:lang w:val="ru-RU"/>
        </w:rPr>
        <w:t>%).</w:t>
      </w:r>
      <w:r w:rsidR="00C234DC">
        <w:rPr>
          <w:rFonts w:cs="Times New Roman"/>
          <w:sz w:val="24"/>
          <w:szCs w:val="24"/>
          <w:lang w:val="ru-RU"/>
        </w:rPr>
        <w:t xml:space="preserve"> </w:t>
      </w:r>
      <w:r w:rsidRPr="00383DBC">
        <w:rPr>
          <w:rFonts w:cs="Times New Roman"/>
          <w:sz w:val="24"/>
          <w:szCs w:val="24"/>
          <w:lang w:val="ru-RU"/>
        </w:rPr>
        <w:t>Случаи менингита или менингоэнцефалита, вызванного вирусами опоясывающего герпеса, возникали при приеме сипонимода в любой момент лечения. Также</w:t>
      </w:r>
      <w:r w:rsidR="00482FB1">
        <w:rPr>
          <w:rFonts w:cs="Times New Roman"/>
          <w:sz w:val="24"/>
          <w:szCs w:val="24"/>
          <w:lang w:val="ru-RU"/>
        </w:rPr>
        <w:t> </w:t>
      </w:r>
      <w:r w:rsidRPr="00383DBC">
        <w:rPr>
          <w:rFonts w:cs="Times New Roman"/>
          <w:sz w:val="24"/>
          <w:szCs w:val="24"/>
          <w:lang w:val="ru-RU"/>
        </w:rPr>
        <w:t>сообщалось о случаях криптококкового менингита (КМ), вызванного сипонимодом (см. раздел 4.4).</w:t>
      </w:r>
      <w:r w:rsidR="00C234DC">
        <w:rPr>
          <w:rFonts w:cs="Times New Roman"/>
          <w:sz w:val="24"/>
          <w:szCs w:val="24"/>
          <w:lang w:val="ru-RU"/>
        </w:rPr>
        <w:t xml:space="preserve"> </w:t>
      </w:r>
      <w:r w:rsidRPr="00383DBC">
        <w:rPr>
          <w:rFonts w:cs="Times New Roman"/>
          <w:i/>
          <w:iCs/>
          <w:sz w:val="24"/>
          <w:szCs w:val="24"/>
          <w:u w:val="single"/>
          <w:lang w:val="ru-RU"/>
        </w:rPr>
        <w:t>Макулярный отек</w:t>
      </w:r>
    </w:p>
    <w:p w14:paraId="2D982D7C" w14:textId="2C4DC808" w:rsidR="009C38EA" w:rsidRPr="00482FB1" w:rsidRDefault="009C38EA" w:rsidP="002B0543">
      <w:pPr>
        <w:jc w:val="both"/>
        <w:rPr>
          <w:rFonts w:cs="Times New Roman"/>
          <w:sz w:val="24"/>
          <w:szCs w:val="24"/>
          <w:lang w:val="ru-RU"/>
        </w:rPr>
      </w:pPr>
      <w:r w:rsidRPr="00383DBC">
        <w:rPr>
          <w:rFonts w:cs="Times New Roman"/>
          <w:sz w:val="24"/>
          <w:szCs w:val="24"/>
          <w:lang w:val="ru-RU"/>
        </w:rPr>
        <w:t>Макулярный отек чаще отмечался у пациентов, получавших сипонимод (1,8</w:t>
      </w:r>
      <w:r w:rsidR="00482FB1">
        <w:rPr>
          <w:rFonts w:cs="Times New Roman"/>
          <w:sz w:val="24"/>
          <w:szCs w:val="24"/>
          <w:lang w:val="ru-RU"/>
        </w:rPr>
        <w:t> </w:t>
      </w:r>
      <w:r w:rsidRPr="00383DBC">
        <w:rPr>
          <w:rFonts w:cs="Times New Roman"/>
          <w:sz w:val="24"/>
          <w:szCs w:val="24"/>
          <w:lang w:val="ru-RU"/>
        </w:rPr>
        <w:t>%), чем у тех, кто принимал плацебо (0,2</w:t>
      </w:r>
      <w:r w:rsidR="00482FB1">
        <w:rPr>
          <w:rFonts w:cs="Times New Roman"/>
          <w:sz w:val="24"/>
          <w:szCs w:val="24"/>
          <w:lang w:val="ru-RU"/>
        </w:rPr>
        <w:t> </w:t>
      </w:r>
      <w:r w:rsidRPr="00383DBC">
        <w:rPr>
          <w:rFonts w:cs="Times New Roman"/>
          <w:sz w:val="24"/>
          <w:szCs w:val="24"/>
          <w:lang w:val="ru-RU"/>
        </w:rPr>
        <w:t>%). Хотя большинство случаев возникало в течение 3</w:t>
      </w:r>
      <w:r w:rsidR="00482FB1">
        <w:rPr>
          <w:rFonts w:cs="Times New Roman"/>
          <w:sz w:val="24"/>
          <w:szCs w:val="24"/>
          <w:lang w:val="ru-RU"/>
        </w:rPr>
        <w:noBreakHyphen/>
      </w:r>
      <w:r w:rsidRPr="00383DBC">
        <w:rPr>
          <w:rFonts w:cs="Times New Roman"/>
          <w:sz w:val="24"/>
          <w:szCs w:val="24"/>
          <w:lang w:val="ru-RU"/>
        </w:rPr>
        <w:t>4</w:t>
      </w:r>
      <w:r w:rsidR="00482FB1">
        <w:rPr>
          <w:rFonts w:cs="Times New Roman"/>
          <w:sz w:val="24"/>
          <w:szCs w:val="24"/>
          <w:lang w:val="ru-RU"/>
        </w:rPr>
        <w:t> </w:t>
      </w:r>
      <w:r w:rsidRPr="00383DBC">
        <w:rPr>
          <w:rFonts w:cs="Times New Roman"/>
          <w:sz w:val="24"/>
          <w:szCs w:val="24"/>
          <w:lang w:val="ru-RU"/>
        </w:rPr>
        <w:t xml:space="preserve">месяцев после начала приема сипонимода, также сообщалось о случаях у пациентов, получавших сипонимод более 6 месяцев (см. раздел 4.4). У некоторых пациентов наблюдалось затуманивание или снижение остроты зрения, у других - бессимптомное состояние, диагностированное при обычном офтальмологическом </w:t>
      </w:r>
      <w:r w:rsidRPr="00383DBC">
        <w:rPr>
          <w:rFonts w:cs="Times New Roman"/>
          <w:sz w:val="24"/>
          <w:szCs w:val="24"/>
          <w:lang w:val="ru-RU"/>
        </w:rPr>
        <w:lastRenderedPageBreak/>
        <w:t>осмотре. Макулярный отек обычно улучшался или проходил спонтанно после прекращения лечения. Риск рецидива после повторного приема препарата не изучен.</w:t>
      </w:r>
      <w:r w:rsidR="00482FB1">
        <w:rPr>
          <w:rFonts w:cs="Times New Roman"/>
          <w:sz w:val="24"/>
          <w:szCs w:val="24"/>
          <w:lang w:val="ru-RU"/>
        </w:rPr>
        <w:t xml:space="preserve"> </w:t>
      </w:r>
      <w:r w:rsidRPr="00383DBC">
        <w:rPr>
          <w:rFonts w:cs="Times New Roman"/>
          <w:i/>
          <w:iCs/>
          <w:sz w:val="24"/>
          <w:szCs w:val="24"/>
          <w:u w:val="single"/>
          <w:lang w:val="ru-RU"/>
        </w:rPr>
        <w:t>Брадиаритмия</w:t>
      </w:r>
    </w:p>
    <w:p w14:paraId="3AED20E1" w14:textId="10205DA1" w:rsidR="009C38EA" w:rsidRPr="00383DBC" w:rsidRDefault="009C38EA" w:rsidP="002B0543">
      <w:pPr>
        <w:jc w:val="both"/>
        <w:rPr>
          <w:rFonts w:cs="Times New Roman"/>
          <w:sz w:val="24"/>
          <w:szCs w:val="24"/>
          <w:lang w:val="ru-RU"/>
        </w:rPr>
      </w:pPr>
      <w:r w:rsidRPr="00383DBC">
        <w:rPr>
          <w:rFonts w:cs="Times New Roman"/>
          <w:sz w:val="24"/>
          <w:szCs w:val="24"/>
          <w:lang w:val="ru-RU"/>
        </w:rPr>
        <w:t>Начало лечения сипонимодом приводит к преходящему снижению частоты сердечных сокращений, а также может быть связано с задержкой атриовентрикулярной проводимости (см. раздел 4.4). Брадикардия отмечалась у 6,2</w:t>
      </w:r>
      <w:r w:rsidR="00482FB1">
        <w:rPr>
          <w:rFonts w:cs="Times New Roman"/>
          <w:sz w:val="24"/>
          <w:szCs w:val="24"/>
          <w:lang w:val="ru-RU"/>
        </w:rPr>
        <w:t> </w:t>
      </w:r>
      <w:r w:rsidRPr="00383DBC">
        <w:rPr>
          <w:rFonts w:cs="Times New Roman"/>
          <w:sz w:val="24"/>
          <w:szCs w:val="24"/>
          <w:lang w:val="ru-RU"/>
        </w:rPr>
        <w:t>% пациентов, получавших сипонимод, по сравнению с 3,1</w:t>
      </w:r>
      <w:r w:rsidR="00482FB1">
        <w:rPr>
          <w:rFonts w:cs="Times New Roman"/>
          <w:sz w:val="24"/>
          <w:szCs w:val="24"/>
          <w:lang w:val="ru-RU"/>
        </w:rPr>
        <w:t> </w:t>
      </w:r>
      <w:r w:rsidRPr="00383DBC">
        <w:rPr>
          <w:rFonts w:cs="Times New Roman"/>
          <w:sz w:val="24"/>
          <w:szCs w:val="24"/>
          <w:lang w:val="ru-RU"/>
        </w:rPr>
        <w:t>%, получавших плацебо, а АВ-блокада - у 1,7</w:t>
      </w:r>
      <w:r w:rsidR="00482FB1">
        <w:rPr>
          <w:rFonts w:cs="Times New Roman"/>
          <w:sz w:val="24"/>
          <w:szCs w:val="24"/>
          <w:lang w:val="ru-RU"/>
        </w:rPr>
        <w:t> </w:t>
      </w:r>
      <w:r w:rsidRPr="00383DBC">
        <w:rPr>
          <w:rFonts w:cs="Times New Roman"/>
          <w:sz w:val="24"/>
          <w:szCs w:val="24"/>
          <w:lang w:val="ru-RU"/>
        </w:rPr>
        <w:t>% пациентов, принимавших сипонимод, по сравнению с 0,7</w:t>
      </w:r>
      <w:r w:rsidR="00482FB1">
        <w:rPr>
          <w:rFonts w:cs="Times New Roman"/>
          <w:sz w:val="24"/>
          <w:szCs w:val="24"/>
          <w:lang w:val="ru-RU"/>
        </w:rPr>
        <w:t> </w:t>
      </w:r>
      <w:r w:rsidRPr="00383DBC">
        <w:rPr>
          <w:rFonts w:cs="Times New Roman"/>
          <w:sz w:val="24"/>
          <w:szCs w:val="24"/>
          <w:lang w:val="ru-RU"/>
        </w:rPr>
        <w:t>%, лечившихся плацебо (см. раздел 4.4).</w:t>
      </w:r>
      <w:r w:rsidR="00C234DC">
        <w:rPr>
          <w:rFonts w:cs="Times New Roman"/>
          <w:sz w:val="24"/>
          <w:szCs w:val="24"/>
          <w:lang w:val="ru-RU"/>
        </w:rPr>
        <w:t xml:space="preserve"> </w:t>
      </w:r>
      <w:r w:rsidRPr="00383DBC">
        <w:rPr>
          <w:rFonts w:cs="Times New Roman"/>
          <w:sz w:val="24"/>
          <w:szCs w:val="24"/>
          <w:lang w:val="ru-RU"/>
        </w:rPr>
        <w:t>Максимальное снижение частоты сердечных сокращений наблюдается в первые 6 часов после приема препарата.</w:t>
      </w:r>
      <w:r w:rsidR="00C234DC">
        <w:rPr>
          <w:rFonts w:cs="Times New Roman"/>
          <w:sz w:val="24"/>
          <w:szCs w:val="24"/>
          <w:lang w:val="ru-RU"/>
        </w:rPr>
        <w:t xml:space="preserve"> </w:t>
      </w:r>
      <w:r w:rsidRPr="00383DBC">
        <w:rPr>
          <w:rFonts w:cs="Times New Roman"/>
          <w:sz w:val="24"/>
          <w:szCs w:val="24"/>
          <w:lang w:val="ru-RU"/>
        </w:rPr>
        <w:t xml:space="preserve">Преходящее, дозозависимое снижение частоты сердечных сокращений наблюдалось в начальной фазе дозирования и достигало плато при дозах </w:t>
      </w:r>
      <w:r w:rsidRPr="00383DBC">
        <w:rPr>
          <w:rFonts w:cs="Times New Roman"/>
          <w:sz w:val="24"/>
          <w:szCs w:val="24"/>
          <w:u w:val="single"/>
          <w:lang w:val="ru-RU"/>
        </w:rPr>
        <w:t>&gt;</w:t>
      </w:r>
      <w:r w:rsidRPr="00383DBC">
        <w:rPr>
          <w:rFonts w:cs="Times New Roman"/>
          <w:sz w:val="24"/>
          <w:szCs w:val="24"/>
          <w:lang w:val="ru-RU"/>
        </w:rPr>
        <w:t xml:space="preserve">5 </w:t>
      </w:r>
      <w:r w:rsidR="00482FB1">
        <w:rPr>
          <w:rFonts w:cs="Times New Roman"/>
          <w:sz w:val="24"/>
          <w:szCs w:val="24"/>
          <w:lang w:val="ru-RU"/>
        </w:rPr>
        <w:t>мг. Брадиаритмические события (</w:t>
      </w:r>
      <w:r w:rsidRPr="00383DBC">
        <w:rPr>
          <w:rFonts w:cs="Times New Roman"/>
          <w:sz w:val="24"/>
          <w:szCs w:val="24"/>
          <w:lang w:val="ru-RU"/>
        </w:rPr>
        <w:t>АВ-блокады и синусовые паузы) были выявлены с большей частотой при лечении сипонимодом по сравнению с плацебо.</w:t>
      </w:r>
      <w:r w:rsidR="00C234DC">
        <w:rPr>
          <w:rFonts w:cs="Times New Roman"/>
          <w:sz w:val="24"/>
          <w:szCs w:val="24"/>
          <w:lang w:val="ru-RU"/>
        </w:rPr>
        <w:t xml:space="preserve"> </w:t>
      </w:r>
      <w:r w:rsidRPr="00383DBC">
        <w:rPr>
          <w:rFonts w:cs="Times New Roman"/>
          <w:sz w:val="24"/>
          <w:szCs w:val="24"/>
          <w:lang w:val="ru-RU"/>
        </w:rPr>
        <w:t>Большинство АВ-блокад и синусовых пауз возникало выше терапевтической дозы 2 мг, причем их частота была заметно выше в условиях отсутствия титрования дозы по сравнению с титрованием дозы.</w:t>
      </w:r>
      <w:r w:rsidR="00C234DC">
        <w:rPr>
          <w:rFonts w:cs="Times New Roman"/>
          <w:sz w:val="24"/>
          <w:szCs w:val="24"/>
          <w:lang w:val="ru-RU"/>
        </w:rPr>
        <w:t xml:space="preserve"> </w:t>
      </w:r>
      <w:r w:rsidRPr="00383DBC">
        <w:rPr>
          <w:rFonts w:cs="Times New Roman"/>
          <w:sz w:val="24"/>
          <w:szCs w:val="24"/>
          <w:lang w:val="ru-RU"/>
        </w:rPr>
        <w:t>Снижение частоты сердечных сокращений, вызванное сипонимодом, можно отменить атропином или изопреналином.</w:t>
      </w:r>
    </w:p>
    <w:p w14:paraId="3613193A" w14:textId="77777777" w:rsidR="009C38EA" w:rsidRPr="00383DBC" w:rsidRDefault="009C38EA" w:rsidP="002B0543">
      <w:pPr>
        <w:jc w:val="both"/>
        <w:rPr>
          <w:rFonts w:cs="Times New Roman"/>
          <w:i/>
          <w:iCs/>
          <w:sz w:val="24"/>
          <w:szCs w:val="24"/>
          <w:u w:val="single"/>
          <w:lang w:val="ru-RU"/>
        </w:rPr>
      </w:pPr>
      <w:r w:rsidRPr="00383DBC">
        <w:rPr>
          <w:rFonts w:cs="Times New Roman"/>
          <w:i/>
          <w:iCs/>
          <w:sz w:val="24"/>
          <w:szCs w:val="24"/>
          <w:u w:val="single"/>
          <w:lang w:val="ru-RU"/>
        </w:rPr>
        <w:t>Функциональные пробы печени</w:t>
      </w:r>
    </w:p>
    <w:p w14:paraId="58884F9C" w14:textId="047A41B3" w:rsidR="009C38EA" w:rsidRPr="00482FB1" w:rsidRDefault="009C38EA" w:rsidP="002B0543">
      <w:pPr>
        <w:jc w:val="both"/>
        <w:rPr>
          <w:rFonts w:cs="Times New Roman"/>
          <w:sz w:val="24"/>
          <w:szCs w:val="24"/>
          <w:lang w:val="ru-RU"/>
        </w:rPr>
      </w:pPr>
      <w:r w:rsidRPr="00383DBC">
        <w:rPr>
          <w:rFonts w:cs="Times New Roman"/>
          <w:sz w:val="24"/>
          <w:szCs w:val="24"/>
          <w:lang w:val="ru-RU"/>
        </w:rPr>
        <w:t>Сообщалось о повышении уровня печеночных ферментов (в основном повышение АЛТ) у пациентов с рассеяным склерозом, получавших сипонимод. В исследовании III фазы у пациентов с вторично-прогрессирующим рассеянным склерозом повышение показателей печеночных проб чаще наблюдалось у тех, кто принимал сипонимод (11,3%), чем у тех, кто принимал плацебо (3,1</w:t>
      </w:r>
      <w:r w:rsidR="00482FB1">
        <w:rPr>
          <w:rFonts w:cs="Times New Roman"/>
          <w:sz w:val="24"/>
          <w:szCs w:val="24"/>
          <w:lang w:val="ru-RU"/>
        </w:rPr>
        <w:t> </w:t>
      </w:r>
      <w:r w:rsidRPr="00383DBC">
        <w:rPr>
          <w:rFonts w:cs="Times New Roman"/>
          <w:sz w:val="24"/>
          <w:szCs w:val="24"/>
          <w:lang w:val="ru-RU"/>
        </w:rPr>
        <w:t>%), в основном за счет повышения печеночных трансаминаз (АЛТ/АСТ) и ГГТ. Большинство случаев повышения произошло в течение 6 месяцев после начала лечения. Уровень АЛТ приходил в норму примерно через 1 месяц после прекращения прие</w:t>
      </w:r>
      <w:r w:rsidR="00482FB1">
        <w:rPr>
          <w:rFonts w:cs="Times New Roman"/>
          <w:sz w:val="24"/>
          <w:szCs w:val="24"/>
          <w:lang w:val="ru-RU"/>
        </w:rPr>
        <w:t xml:space="preserve">ма сипонимода (см. раздел 4.4). </w:t>
      </w:r>
      <w:r w:rsidR="00482FB1">
        <w:rPr>
          <w:rFonts w:cs="Times New Roman"/>
          <w:i/>
          <w:iCs/>
          <w:sz w:val="24"/>
          <w:szCs w:val="24"/>
          <w:u w:val="single"/>
          <w:lang w:val="ru-RU"/>
        </w:rPr>
        <w:t xml:space="preserve">Артериальное </w:t>
      </w:r>
      <w:r w:rsidRPr="00383DBC">
        <w:rPr>
          <w:rFonts w:cs="Times New Roman"/>
          <w:i/>
          <w:iCs/>
          <w:sz w:val="24"/>
          <w:szCs w:val="24"/>
          <w:u w:val="single"/>
          <w:lang w:val="ru-RU"/>
        </w:rPr>
        <w:t xml:space="preserve"> давление</w:t>
      </w:r>
    </w:p>
    <w:p w14:paraId="7140E99A" w14:textId="31DE59CF" w:rsidR="009C38EA" w:rsidRPr="00482FB1" w:rsidRDefault="009C38EA" w:rsidP="002B0543">
      <w:pPr>
        <w:jc w:val="both"/>
        <w:rPr>
          <w:rFonts w:cs="Times New Roman"/>
          <w:sz w:val="24"/>
          <w:szCs w:val="24"/>
          <w:lang w:val="ru-RU"/>
        </w:rPr>
      </w:pPr>
      <w:r w:rsidRPr="00383DBC">
        <w:rPr>
          <w:rFonts w:cs="Times New Roman"/>
          <w:sz w:val="24"/>
          <w:szCs w:val="24"/>
          <w:lang w:val="ru-RU"/>
        </w:rPr>
        <w:t>Гипертензия чаще отмечалась у пациентов, принимавших сипонимод (12,6</w:t>
      </w:r>
      <w:r w:rsidR="00482FB1">
        <w:rPr>
          <w:rFonts w:cs="Times New Roman"/>
          <w:sz w:val="24"/>
          <w:szCs w:val="24"/>
          <w:lang w:val="ru-RU"/>
        </w:rPr>
        <w:t> </w:t>
      </w:r>
      <w:r w:rsidRPr="00383DBC">
        <w:rPr>
          <w:rFonts w:cs="Times New Roman"/>
          <w:sz w:val="24"/>
          <w:szCs w:val="24"/>
          <w:lang w:val="ru-RU"/>
        </w:rPr>
        <w:t xml:space="preserve">%), чем у тех, кто получал плацебо (9,0%), в клиническом исследовании III фазы у пациентов с вторично-прогрессирующим рассеянным склерозом. Лечение сипонимодом приводило к повышению систолического и диастолического артериального давления, начиная с первых </w:t>
      </w:r>
      <w:r w:rsidR="00482FB1" w:rsidRPr="00383DBC">
        <w:rPr>
          <w:rFonts w:cs="Times New Roman"/>
          <w:sz w:val="24"/>
          <w:szCs w:val="24"/>
          <w:lang w:val="ru-RU"/>
        </w:rPr>
        <w:t>дней,</w:t>
      </w:r>
      <w:r w:rsidRPr="00383DBC">
        <w:rPr>
          <w:rFonts w:cs="Times New Roman"/>
          <w:sz w:val="24"/>
          <w:szCs w:val="24"/>
          <w:lang w:val="ru-RU"/>
        </w:rPr>
        <w:t xml:space="preserve"> после начала лечения, достигая максимального эффекта примерно через 6</w:t>
      </w:r>
      <w:r w:rsidR="00482FB1">
        <w:rPr>
          <w:rFonts w:cs="Times New Roman"/>
          <w:sz w:val="24"/>
          <w:szCs w:val="24"/>
          <w:lang w:val="ru-RU"/>
        </w:rPr>
        <w:t> </w:t>
      </w:r>
      <w:r w:rsidRPr="00383DBC">
        <w:rPr>
          <w:rFonts w:cs="Times New Roman"/>
          <w:sz w:val="24"/>
          <w:szCs w:val="24"/>
          <w:lang w:val="ru-RU"/>
        </w:rPr>
        <w:t>месяцев лечения (систолическое - 3 мм рт. ст., диастолическое - 1,2 мм рт. ст.) и оставаясь стабильным в последующем. Эффект сохр</w:t>
      </w:r>
      <w:r w:rsidR="00482FB1">
        <w:rPr>
          <w:rFonts w:cs="Times New Roman"/>
          <w:sz w:val="24"/>
          <w:szCs w:val="24"/>
          <w:lang w:val="ru-RU"/>
        </w:rPr>
        <w:t xml:space="preserve">анялся при продолжении лечения. </w:t>
      </w:r>
      <w:r w:rsidRPr="00383DBC">
        <w:rPr>
          <w:rFonts w:cs="Times New Roman"/>
          <w:sz w:val="24"/>
          <w:szCs w:val="24"/>
          <w:u w:val="single"/>
          <w:lang w:val="ru-RU"/>
        </w:rPr>
        <w:t>Судороги</w:t>
      </w:r>
    </w:p>
    <w:p w14:paraId="624E9A6D" w14:textId="70C3CB11" w:rsidR="009C38EA" w:rsidRPr="00383DBC" w:rsidRDefault="009C38EA" w:rsidP="002B0543">
      <w:pPr>
        <w:jc w:val="both"/>
        <w:rPr>
          <w:rFonts w:cs="Times New Roman"/>
          <w:sz w:val="24"/>
          <w:szCs w:val="24"/>
          <w:lang w:val="ru-RU"/>
        </w:rPr>
      </w:pPr>
      <w:r w:rsidRPr="00383DBC">
        <w:rPr>
          <w:rFonts w:cs="Times New Roman"/>
          <w:sz w:val="24"/>
          <w:szCs w:val="24"/>
          <w:lang w:val="ru-RU"/>
        </w:rPr>
        <w:t>В клиническом исследовании III фазы у пациентов с вторично-прогрессирующим рассеянным склерозом судороги отмечались у 1,7</w:t>
      </w:r>
      <w:r w:rsidR="00482FB1">
        <w:rPr>
          <w:rFonts w:cs="Times New Roman"/>
          <w:sz w:val="24"/>
          <w:szCs w:val="24"/>
          <w:lang w:val="ru-RU"/>
        </w:rPr>
        <w:t> </w:t>
      </w:r>
      <w:r w:rsidRPr="00383DBC">
        <w:rPr>
          <w:rFonts w:cs="Times New Roman"/>
          <w:sz w:val="24"/>
          <w:szCs w:val="24"/>
          <w:lang w:val="ru-RU"/>
        </w:rPr>
        <w:t>% пациентов, получавши</w:t>
      </w:r>
      <w:r w:rsidR="00482FB1">
        <w:rPr>
          <w:rFonts w:cs="Times New Roman"/>
          <w:sz w:val="24"/>
          <w:szCs w:val="24"/>
          <w:lang w:val="ru-RU"/>
        </w:rPr>
        <w:t>х сипонимод, по сравнению с 0,4 </w:t>
      </w:r>
      <w:r w:rsidRPr="00383DBC">
        <w:rPr>
          <w:rFonts w:cs="Times New Roman"/>
          <w:sz w:val="24"/>
          <w:szCs w:val="24"/>
          <w:lang w:val="ru-RU"/>
        </w:rPr>
        <w:t>%, принимавших плацебо.</w:t>
      </w:r>
    </w:p>
    <w:p w14:paraId="7C873BF5" w14:textId="77777777" w:rsidR="009C38EA" w:rsidRPr="00383DBC" w:rsidRDefault="009C38EA" w:rsidP="002B0543">
      <w:pPr>
        <w:jc w:val="both"/>
        <w:rPr>
          <w:rFonts w:cs="Times New Roman"/>
          <w:i/>
          <w:iCs/>
          <w:sz w:val="24"/>
          <w:szCs w:val="24"/>
          <w:u w:val="single"/>
          <w:lang w:val="ru-RU"/>
        </w:rPr>
      </w:pPr>
      <w:r w:rsidRPr="00383DBC">
        <w:rPr>
          <w:rFonts w:cs="Times New Roman"/>
          <w:i/>
          <w:iCs/>
          <w:sz w:val="24"/>
          <w:szCs w:val="24"/>
          <w:u w:val="single"/>
          <w:lang w:val="ru-RU"/>
        </w:rPr>
        <w:t>Респираторные эффекты</w:t>
      </w:r>
    </w:p>
    <w:p w14:paraId="6B142993" w14:textId="77777777" w:rsidR="009C38EA" w:rsidRPr="00383DBC" w:rsidRDefault="009C38EA" w:rsidP="002B0543">
      <w:pPr>
        <w:jc w:val="both"/>
        <w:rPr>
          <w:rFonts w:cs="Times New Roman"/>
          <w:sz w:val="24"/>
          <w:szCs w:val="24"/>
          <w:lang w:val="ru-RU"/>
        </w:rPr>
      </w:pPr>
      <w:r w:rsidRPr="00383DBC">
        <w:rPr>
          <w:rFonts w:cs="Times New Roman"/>
          <w:sz w:val="24"/>
          <w:szCs w:val="24"/>
          <w:lang w:val="ru-RU"/>
        </w:rPr>
        <w:t>При лечении сипонимодом наблюдалось незначительное снижение показателей форсированного дыхательного объема за 1 секунду (FEV1) и диффузионной способности легких по угарному газу (DLCO). На 3-м и 6-м месяцах лечения в клиническом исследовании III фазы у пациентов с вторично-прогрессирующим рассеянным склерозом средние изменения FEV1 по сравнению с исходным уровнем в группе сипонимода составили -0,1 л в каждой временной точке, при этом в группе плацебо изменений не было. Эти наблюдения были несколько выше (примерно 0,15 л среднего изменения FEV1 по сравнению с исходным уровнем) у пациентов с респираторными заболеваниями, такими как хроническая обструктивная болезнь легких (ХОБЛ) или астма, получавших сипонимод. При хроническом лечении это снижение не привело к клинически значимым нежелательным явлениям и не было связано с увеличением числа сообщений о кашле или одышке (см. раздел 5.1).</w:t>
      </w:r>
    </w:p>
    <w:p w14:paraId="43B13AE4" w14:textId="77777777" w:rsidR="009C38EA" w:rsidRPr="00383DBC" w:rsidRDefault="009C38EA" w:rsidP="002B0543">
      <w:pPr>
        <w:autoSpaceDE w:val="0"/>
        <w:autoSpaceDN w:val="0"/>
        <w:jc w:val="both"/>
        <w:rPr>
          <w:rFonts w:cs="Times New Roman"/>
          <w:b/>
          <w:sz w:val="24"/>
          <w:szCs w:val="24"/>
          <w:lang w:val="ru-RU"/>
        </w:rPr>
      </w:pPr>
      <w:bookmarkStart w:id="31" w:name="_i4i33tdouc1fjLe9kCA87OaLz"/>
      <w:bookmarkEnd w:id="30"/>
      <w:bookmarkEnd w:id="31"/>
    </w:p>
    <w:p w14:paraId="784EF7A6" w14:textId="77638AE7" w:rsidR="00A93F9E" w:rsidRPr="00383DBC" w:rsidRDefault="00A93F9E" w:rsidP="002B0543">
      <w:pPr>
        <w:pStyle w:val="30"/>
        <w:spacing w:before="0"/>
        <w:jc w:val="both"/>
        <w:rPr>
          <w:rFonts w:cs="Times New Roman"/>
          <w:b/>
          <w:sz w:val="24"/>
          <w:szCs w:val="24"/>
          <w:u w:val="none"/>
          <w:lang w:val="ru-RU"/>
        </w:rPr>
      </w:pPr>
      <w:r w:rsidRPr="00383DBC">
        <w:rPr>
          <w:rFonts w:cs="Times New Roman"/>
          <w:b/>
          <w:sz w:val="24"/>
          <w:szCs w:val="24"/>
          <w:u w:val="none"/>
          <w:lang w:val="ru-RU"/>
        </w:rPr>
        <w:lastRenderedPageBreak/>
        <w:t>Сообщение о подозреваемых нежелательных реакциях</w:t>
      </w:r>
    </w:p>
    <w:p w14:paraId="087F8BA0" w14:textId="7DFA2621" w:rsidR="00A93F9E" w:rsidRPr="00383DBC" w:rsidRDefault="00A93F9E" w:rsidP="002B0543">
      <w:pPr>
        <w:jc w:val="both"/>
        <w:rPr>
          <w:rFonts w:eastAsia="Times New Roman" w:cs="Times New Roman"/>
          <w:sz w:val="24"/>
          <w:szCs w:val="24"/>
          <w:lang w:val="ru-RU"/>
        </w:rPr>
      </w:pPr>
      <w:r w:rsidRPr="00383DBC">
        <w:rPr>
          <w:rFonts w:eastAsia="Times New Roman" w:cs="Times New Roman"/>
          <w:sz w:val="24"/>
          <w:szCs w:val="24"/>
          <w:lang w:val="ru-RU"/>
        </w:rPr>
        <w:t>Важно сообщать о подозреваемых нежелательных реакциях после регистрации ЛП с целью обеспечения непрерывного мониторинга соотношения «польза–риск» ЛП. Медицинским работникам рекомендуется сообщать о любых подозреваемых нежелательных реакциях ЛП через национальную систему сообщения о нежелательных реакциях РК</w:t>
      </w:r>
    </w:p>
    <w:p w14:paraId="201C3765" w14:textId="77777777" w:rsidR="00A93F9E" w:rsidRPr="00383DBC" w:rsidRDefault="00A93F9E" w:rsidP="002B0543">
      <w:pPr>
        <w:jc w:val="both"/>
        <w:rPr>
          <w:rFonts w:eastAsia="Times New Roman" w:cs="Times New Roman"/>
          <w:sz w:val="24"/>
          <w:szCs w:val="24"/>
          <w:lang w:val="ru-RU"/>
        </w:rPr>
      </w:pPr>
      <w:r w:rsidRPr="00383DBC">
        <w:rPr>
          <w:rFonts w:eastAsia="Times New Roman" w:cs="Times New Roman"/>
          <w:sz w:val="24"/>
          <w:szCs w:val="24"/>
          <w:lang w:val="ru-RU"/>
        </w:rPr>
        <w:t>РГП на ПХВ «Национальный центр экспертизы лекарственных средств и медицинских изделий» Комитета медицинского и фармацевтического контроля Министерства здравоохранения Республики Казахстан</w:t>
      </w:r>
    </w:p>
    <w:p w14:paraId="7585CEFE" w14:textId="77777777" w:rsidR="00A93F9E" w:rsidRPr="00383DBC" w:rsidRDefault="000C2706" w:rsidP="002B0543">
      <w:pPr>
        <w:keepNext/>
        <w:jc w:val="both"/>
        <w:rPr>
          <w:rFonts w:eastAsia="Times New Roman" w:cs="Times New Roman"/>
          <w:sz w:val="24"/>
          <w:szCs w:val="24"/>
          <w:lang w:val="ru-RU"/>
        </w:rPr>
      </w:pPr>
      <w:hyperlink r:id="rId19" w:history="1">
        <w:r w:rsidR="00A93F9E" w:rsidRPr="00383DBC">
          <w:rPr>
            <w:rFonts w:eastAsia="Times New Roman" w:cs="Times New Roman"/>
            <w:sz w:val="24"/>
            <w:szCs w:val="24"/>
            <w:u w:val="single"/>
            <w:lang w:val="ru-RU"/>
          </w:rPr>
          <w:t>http://www.ndda.kz</w:t>
        </w:r>
      </w:hyperlink>
    </w:p>
    <w:p w14:paraId="2962D40C" w14:textId="5CEFFE43" w:rsidR="00A93F9E" w:rsidRPr="00383DBC" w:rsidRDefault="00A93F9E" w:rsidP="002B0543">
      <w:pPr>
        <w:autoSpaceDE w:val="0"/>
        <w:autoSpaceDN w:val="0"/>
        <w:adjustRightInd w:val="0"/>
        <w:jc w:val="both"/>
        <w:rPr>
          <w:rFonts w:eastAsia="SimSun" w:cs="Times New Roman"/>
          <w:sz w:val="24"/>
          <w:szCs w:val="24"/>
          <w:lang w:val="ru-RU" w:eastAsia="ru-RU"/>
        </w:rPr>
      </w:pPr>
    </w:p>
    <w:p w14:paraId="5877DE57" w14:textId="0D45EC25" w:rsidR="0043020C" w:rsidRPr="00383DBC" w:rsidRDefault="00A93F9E" w:rsidP="002B0543">
      <w:pPr>
        <w:jc w:val="both"/>
        <w:rPr>
          <w:rFonts w:eastAsia="Times New Roman" w:cs="Times New Roman"/>
          <w:sz w:val="24"/>
          <w:szCs w:val="24"/>
          <w:lang w:val="ru-RU"/>
        </w:rPr>
      </w:pPr>
      <w:bookmarkStart w:id="32" w:name="_i4i7Vpbf15Qm1UUoLEvLedkyV"/>
      <w:bookmarkEnd w:id="32"/>
      <w:r w:rsidRPr="00383DBC">
        <w:rPr>
          <w:rFonts w:eastAsia="Times New Roman" w:cs="Times New Roman"/>
          <w:b/>
          <w:sz w:val="24"/>
          <w:szCs w:val="24"/>
          <w:lang w:val="ru-RU" w:eastAsia="ru-RU"/>
        </w:rPr>
        <w:t>4.9 Передозировка</w:t>
      </w:r>
    </w:p>
    <w:p w14:paraId="22329B7B" w14:textId="666D8BE1" w:rsidR="00383DBC" w:rsidRPr="00383DBC" w:rsidRDefault="00383DBC" w:rsidP="002B0543">
      <w:pPr>
        <w:jc w:val="both"/>
        <w:rPr>
          <w:rFonts w:cs="Times New Roman"/>
          <w:sz w:val="24"/>
          <w:szCs w:val="24"/>
          <w:lang w:val="ru-RU"/>
        </w:rPr>
      </w:pPr>
      <w:r w:rsidRPr="00383DBC">
        <w:rPr>
          <w:rFonts w:cs="Times New Roman"/>
          <w:sz w:val="24"/>
          <w:szCs w:val="24"/>
          <w:lang w:val="ru-RU"/>
        </w:rPr>
        <w:t>У здоровых людей максимальная переносимая доза была определена в 25 мг на основании возникновения симптоматической брадикардии после приема разовой дозы в 75 мг. Несколько человек получили непредусмотренные до</w:t>
      </w:r>
      <w:r w:rsidR="00482FB1">
        <w:rPr>
          <w:rFonts w:cs="Times New Roman"/>
          <w:sz w:val="24"/>
          <w:szCs w:val="24"/>
          <w:lang w:val="ru-RU"/>
        </w:rPr>
        <w:t>зы до 200 мг в день в течение 3</w:t>
      </w:r>
      <w:r w:rsidR="00482FB1">
        <w:rPr>
          <w:rFonts w:cs="Times New Roman"/>
          <w:sz w:val="24"/>
          <w:szCs w:val="24"/>
          <w:lang w:val="ru-RU"/>
        </w:rPr>
        <w:noBreakHyphen/>
      </w:r>
      <w:r w:rsidRPr="00383DBC">
        <w:rPr>
          <w:rFonts w:cs="Times New Roman"/>
          <w:sz w:val="24"/>
          <w:szCs w:val="24"/>
          <w:lang w:val="ru-RU"/>
        </w:rPr>
        <w:t>4 дней и испытали бессимптомное легкое или умеренное преходящее повышение функциональных проб печени.</w:t>
      </w:r>
    </w:p>
    <w:p w14:paraId="741C8F93" w14:textId="45E3184D" w:rsidR="00383DBC" w:rsidRPr="00383DBC" w:rsidRDefault="00383DBC" w:rsidP="002B0543">
      <w:pPr>
        <w:jc w:val="both"/>
        <w:rPr>
          <w:rFonts w:cs="Times New Roman"/>
          <w:sz w:val="24"/>
          <w:szCs w:val="24"/>
          <w:lang w:val="ru-RU"/>
        </w:rPr>
      </w:pPr>
      <w:r w:rsidRPr="00383DBC">
        <w:rPr>
          <w:rFonts w:cs="Times New Roman"/>
          <w:sz w:val="24"/>
          <w:szCs w:val="24"/>
          <w:lang w:val="ru-RU"/>
        </w:rPr>
        <w:t>У одного пациента (с депрессией в анамнезе), принявшего 84 мг сипонимода, наблюдалось незначительное повышение</w:t>
      </w:r>
      <w:r w:rsidR="00482FB1">
        <w:rPr>
          <w:rFonts w:cs="Times New Roman"/>
          <w:sz w:val="24"/>
          <w:szCs w:val="24"/>
          <w:lang w:val="ru-RU"/>
        </w:rPr>
        <w:t xml:space="preserve"> уровня печеночных трансаминаз. </w:t>
      </w:r>
      <w:r w:rsidRPr="00383DBC">
        <w:rPr>
          <w:rFonts w:cs="Times New Roman"/>
          <w:sz w:val="24"/>
          <w:szCs w:val="24"/>
          <w:lang w:val="ru-RU"/>
        </w:rPr>
        <w:t>Если</w:t>
      </w:r>
      <w:r w:rsidR="00482FB1">
        <w:rPr>
          <w:rFonts w:cs="Times New Roman"/>
          <w:sz w:val="24"/>
          <w:szCs w:val="24"/>
          <w:lang w:val="ru-RU"/>
        </w:rPr>
        <w:t> </w:t>
      </w:r>
      <w:r w:rsidRPr="00383DBC">
        <w:rPr>
          <w:rFonts w:cs="Times New Roman"/>
          <w:sz w:val="24"/>
          <w:szCs w:val="24"/>
          <w:lang w:val="ru-RU"/>
        </w:rPr>
        <w:t>передозировка является первым приемом сипонимода или произошла на этапе титрования дозы сипонимода, важно наблюдать за признаками и симптомами брадикардии, что может включать наблюдение в течение ночи. Необходимо регулярно измерять частоту пульса и артериальное давление, а также сделать электрокардиограмму (см. разделы 4.2 и 4.4).</w:t>
      </w:r>
    </w:p>
    <w:p w14:paraId="06BCF31E" w14:textId="77777777" w:rsidR="00383DBC" w:rsidRPr="00383DBC" w:rsidRDefault="00383DBC" w:rsidP="002B0543">
      <w:pPr>
        <w:jc w:val="both"/>
        <w:rPr>
          <w:rFonts w:cs="Times New Roman"/>
          <w:sz w:val="24"/>
          <w:szCs w:val="24"/>
          <w:lang w:val="ru-RU"/>
        </w:rPr>
      </w:pPr>
      <w:r w:rsidRPr="00383DBC">
        <w:rPr>
          <w:rFonts w:cs="Times New Roman"/>
          <w:sz w:val="24"/>
          <w:szCs w:val="24"/>
          <w:lang w:val="ru-RU"/>
        </w:rPr>
        <w:t>Специфического антидота для сипонимода не существует. Ни диализ, ни обмен плазмы не приведут к значимому выведению сипонимода из организма.</w:t>
      </w:r>
    </w:p>
    <w:p w14:paraId="0D8D577F" w14:textId="77777777" w:rsidR="00AF0EE9" w:rsidRPr="00383DBC" w:rsidRDefault="00AF0EE9" w:rsidP="002B0543">
      <w:pPr>
        <w:autoSpaceDE w:val="0"/>
        <w:autoSpaceDN w:val="0"/>
        <w:adjustRightInd w:val="0"/>
        <w:jc w:val="both"/>
        <w:rPr>
          <w:rFonts w:eastAsia="SimSun" w:cs="Times New Roman"/>
          <w:sz w:val="24"/>
          <w:szCs w:val="24"/>
          <w:lang w:val="ru-RU" w:eastAsia="ru-RU"/>
        </w:rPr>
      </w:pPr>
    </w:p>
    <w:p w14:paraId="5AAA63FE" w14:textId="790E4C35" w:rsidR="00A93F9E" w:rsidRPr="00383DBC" w:rsidRDefault="00A93F9E" w:rsidP="002B0543">
      <w:pPr>
        <w:jc w:val="both"/>
        <w:rPr>
          <w:rFonts w:eastAsia="Times New Roman" w:cs="Times New Roman"/>
          <w:b/>
          <w:sz w:val="24"/>
          <w:szCs w:val="24"/>
          <w:lang w:val="ru-RU" w:eastAsia="ru-RU"/>
        </w:rPr>
      </w:pPr>
      <w:bookmarkStart w:id="33" w:name="_i4i039CpU3GMXV27C4S8Ott59"/>
      <w:bookmarkEnd w:id="33"/>
      <w:r w:rsidRPr="00383DBC">
        <w:rPr>
          <w:rFonts w:eastAsia="Times New Roman" w:cs="Times New Roman"/>
          <w:b/>
          <w:sz w:val="24"/>
          <w:szCs w:val="24"/>
          <w:lang w:val="ru-RU" w:eastAsia="ru-RU"/>
        </w:rPr>
        <w:t>5. ФАРМАКОЛОГИЧЕСКИЕ СВОЙСТВА</w:t>
      </w:r>
    </w:p>
    <w:p w14:paraId="55CAE9BA" w14:textId="1B6DDA42" w:rsidR="00A93F9E" w:rsidRPr="00383DBC" w:rsidRDefault="00A93F9E" w:rsidP="002B0543">
      <w:pPr>
        <w:jc w:val="both"/>
        <w:rPr>
          <w:rFonts w:eastAsia="Times New Roman" w:cs="Times New Roman"/>
          <w:b/>
          <w:sz w:val="24"/>
          <w:szCs w:val="24"/>
          <w:lang w:val="ru-RU" w:eastAsia="ru-RU"/>
        </w:rPr>
      </w:pPr>
      <w:bookmarkStart w:id="34" w:name="_i4i7XdSK4clEE0k2J645mDNoo"/>
      <w:bookmarkEnd w:id="34"/>
      <w:r w:rsidRPr="00383DBC">
        <w:rPr>
          <w:rFonts w:eastAsia="Times New Roman" w:cs="Times New Roman"/>
          <w:b/>
          <w:sz w:val="24"/>
          <w:szCs w:val="24"/>
          <w:lang w:val="ru-RU" w:eastAsia="ru-RU"/>
        </w:rPr>
        <w:t>5.1. Фармакодинамические свойства</w:t>
      </w:r>
    </w:p>
    <w:p w14:paraId="164B5DA1" w14:textId="3F0EB833" w:rsidR="00183210" w:rsidRPr="00383DBC" w:rsidRDefault="00A93F9E" w:rsidP="002B0543">
      <w:pPr>
        <w:jc w:val="both"/>
        <w:rPr>
          <w:rFonts w:cs="Times New Roman"/>
          <w:sz w:val="24"/>
          <w:szCs w:val="24"/>
          <w:lang w:val="ru-RU"/>
        </w:rPr>
      </w:pPr>
      <w:r w:rsidRPr="00383DBC">
        <w:rPr>
          <w:rFonts w:cs="Times New Roman"/>
          <w:sz w:val="24"/>
          <w:szCs w:val="24"/>
          <w:lang w:val="ru-RU"/>
        </w:rPr>
        <w:t xml:space="preserve">Фармакотерапевтическая группа: </w:t>
      </w:r>
      <w:bookmarkStart w:id="35" w:name="_i4i1JVFYTJZXiorhTC43SvrQ9"/>
      <w:bookmarkEnd w:id="35"/>
      <w:r w:rsidR="00183210" w:rsidRPr="00C6706B">
        <w:rPr>
          <w:rFonts w:cs="Times New Roman"/>
          <w:sz w:val="24"/>
          <w:szCs w:val="24"/>
          <w:lang w:val="ru-RU"/>
        </w:rPr>
        <w:t>Противоопухолевые и иммуномодулирующие средства. Иммунодепрессанты. Модуляторы рецепторов сфингозин Фосфата-1 (SIP). Сипонимод. L04AE03</w:t>
      </w:r>
    </w:p>
    <w:p w14:paraId="09964713" w14:textId="51627F3A" w:rsidR="00A93F9E" w:rsidRPr="00383DBC" w:rsidRDefault="00A93F9E" w:rsidP="002B0543">
      <w:pPr>
        <w:jc w:val="both"/>
        <w:rPr>
          <w:rFonts w:cs="Times New Roman"/>
          <w:i/>
          <w:sz w:val="24"/>
          <w:szCs w:val="24"/>
          <w:lang w:val="ru-RU" w:eastAsia="ru-RU"/>
        </w:rPr>
      </w:pPr>
      <w:r w:rsidRPr="00383DBC">
        <w:rPr>
          <w:rFonts w:cs="Times New Roman"/>
          <w:i/>
          <w:sz w:val="24"/>
          <w:szCs w:val="24"/>
          <w:lang w:val="ru-RU" w:eastAsia="ru-RU"/>
        </w:rPr>
        <w:t>Механизм действия</w:t>
      </w:r>
    </w:p>
    <w:p w14:paraId="579114D5" w14:textId="77777777" w:rsidR="00383DBC" w:rsidRPr="00383DBC" w:rsidRDefault="00383DBC" w:rsidP="002B0543">
      <w:pPr>
        <w:jc w:val="both"/>
        <w:rPr>
          <w:rFonts w:cs="Times New Roman"/>
          <w:sz w:val="24"/>
          <w:szCs w:val="24"/>
          <w:lang w:val="ru-RU"/>
        </w:rPr>
      </w:pPr>
      <w:bookmarkStart w:id="36" w:name="_i4i6nbamO3IKiYFOL8kvPr1P6"/>
      <w:bookmarkStart w:id="37" w:name="_i4i03eSlQtmottGXleutc8yyd"/>
      <w:bookmarkStart w:id="38" w:name="_i4i1fS31t6e5QyLKaACMXDn83"/>
      <w:bookmarkEnd w:id="36"/>
      <w:bookmarkEnd w:id="37"/>
      <w:bookmarkEnd w:id="38"/>
      <w:r w:rsidRPr="00383DBC">
        <w:rPr>
          <w:rFonts w:cs="Times New Roman"/>
          <w:sz w:val="24"/>
          <w:szCs w:val="24"/>
          <w:lang w:val="ru-RU"/>
        </w:rPr>
        <w:t>Сипонимод является модулятором рецепторов сфингозин-1-фосфата (S1P). Сипонимод избирательно взаимодействует с двумя из пяти рецепторов, связанных с G-белками (GPCR) для S1P, а именно с S1P1 и S1P5. Действуя как функциональный антагонист рецепторов S1P1 на лимфоцитах, сипонимод препятствует выходу лимфоцитов из лимфатических узлов. Это снижает рециркуляцию Т-клеток в центральную нервную систему (ЦНС) для ограничения центрального воспаления.</w:t>
      </w:r>
    </w:p>
    <w:p w14:paraId="2F7CA594" w14:textId="77777777" w:rsidR="00383DBC" w:rsidRPr="00383DBC" w:rsidRDefault="00383DBC" w:rsidP="002B0543">
      <w:pPr>
        <w:jc w:val="both"/>
        <w:rPr>
          <w:rFonts w:cs="Times New Roman"/>
          <w:sz w:val="24"/>
          <w:szCs w:val="24"/>
          <w:u w:val="single"/>
          <w:lang w:val="ru-RU"/>
        </w:rPr>
      </w:pPr>
      <w:r w:rsidRPr="00383DBC">
        <w:rPr>
          <w:rFonts w:cs="Times New Roman"/>
          <w:sz w:val="24"/>
          <w:szCs w:val="24"/>
          <w:u w:val="single"/>
          <w:lang w:val="ru-RU"/>
        </w:rPr>
        <w:t>Фармакодинамические эффекты</w:t>
      </w:r>
    </w:p>
    <w:p w14:paraId="5BE8FC93" w14:textId="77777777" w:rsidR="00383DBC" w:rsidRPr="00383DBC" w:rsidRDefault="00383DBC" w:rsidP="002B0543">
      <w:pPr>
        <w:jc w:val="both"/>
        <w:rPr>
          <w:rFonts w:cs="Times New Roman"/>
          <w:i/>
          <w:iCs/>
          <w:sz w:val="24"/>
          <w:szCs w:val="24"/>
          <w:u w:val="single"/>
          <w:lang w:val="ru-RU"/>
        </w:rPr>
      </w:pPr>
      <w:r w:rsidRPr="00383DBC">
        <w:rPr>
          <w:rFonts w:cs="Times New Roman"/>
          <w:i/>
          <w:iCs/>
          <w:sz w:val="24"/>
          <w:szCs w:val="24"/>
          <w:u w:val="single"/>
          <w:lang w:val="ru-RU"/>
        </w:rPr>
        <w:t>Снижение количества лимфоцитов периферической крови</w:t>
      </w:r>
    </w:p>
    <w:p w14:paraId="142E7D21" w14:textId="77777777" w:rsidR="00383DBC" w:rsidRPr="00383DBC" w:rsidRDefault="00383DBC" w:rsidP="002B0543">
      <w:pPr>
        <w:jc w:val="both"/>
        <w:rPr>
          <w:rFonts w:cs="Times New Roman"/>
          <w:sz w:val="24"/>
          <w:szCs w:val="24"/>
          <w:lang w:val="ru-RU"/>
        </w:rPr>
      </w:pPr>
      <w:r w:rsidRPr="00383DBC">
        <w:rPr>
          <w:rFonts w:cs="Times New Roman"/>
          <w:sz w:val="24"/>
          <w:szCs w:val="24"/>
          <w:lang w:val="ru-RU"/>
        </w:rPr>
        <w:t>Сипонимод вызывает дозозависимое снижение количества лимфоцитов в периферической крови в течение 6 часов после приема первой дозы, что обусловлено обратимой блокадой лимфоцитов в лимфоидных тканях.</w:t>
      </w:r>
    </w:p>
    <w:p w14:paraId="7E80C95F" w14:textId="3EA4E507" w:rsidR="00383DBC" w:rsidRPr="00383DBC" w:rsidRDefault="00383DBC" w:rsidP="002B0543">
      <w:pPr>
        <w:jc w:val="both"/>
        <w:rPr>
          <w:rFonts w:cs="Times New Roman"/>
          <w:sz w:val="24"/>
          <w:szCs w:val="24"/>
          <w:lang w:val="ru-RU"/>
        </w:rPr>
      </w:pPr>
      <w:r w:rsidRPr="00383DBC">
        <w:rPr>
          <w:rFonts w:cs="Times New Roman"/>
          <w:sz w:val="24"/>
          <w:szCs w:val="24"/>
          <w:lang w:val="ru-RU"/>
        </w:rPr>
        <w:t>При продолжении ежедневного приема препарата количество лимфоцитов продолжает снижаться, достигая нулевой медианы (90</w:t>
      </w:r>
      <w:r w:rsidR="00482FB1">
        <w:rPr>
          <w:rFonts w:cs="Times New Roman"/>
          <w:sz w:val="24"/>
          <w:szCs w:val="24"/>
          <w:lang w:val="ru-RU"/>
        </w:rPr>
        <w:t> </w:t>
      </w:r>
      <w:r w:rsidRPr="00383DBC">
        <w:rPr>
          <w:rFonts w:cs="Times New Roman"/>
          <w:sz w:val="24"/>
          <w:szCs w:val="24"/>
          <w:lang w:val="ru-RU"/>
        </w:rPr>
        <w:t>% доверительного интервала) количества лимфоци</w:t>
      </w:r>
      <w:r w:rsidR="00482FB1">
        <w:rPr>
          <w:rFonts w:cs="Times New Roman"/>
          <w:sz w:val="24"/>
          <w:szCs w:val="24"/>
          <w:lang w:val="ru-RU"/>
        </w:rPr>
        <w:t>тов приблизительно 0,560 (0,271</w:t>
      </w:r>
      <w:r w:rsidR="00482FB1">
        <w:rPr>
          <w:rFonts w:cs="Times New Roman"/>
          <w:sz w:val="24"/>
          <w:szCs w:val="24"/>
          <w:lang w:val="ru-RU"/>
        </w:rPr>
        <w:noBreakHyphen/>
      </w:r>
      <w:r w:rsidRPr="00383DBC">
        <w:rPr>
          <w:rFonts w:cs="Times New Roman"/>
          <w:sz w:val="24"/>
          <w:szCs w:val="24"/>
          <w:lang w:val="ru-RU"/>
        </w:rPr>
        <w:t>1,08) клеток/нл у типичного пациента с CYP2C9*1*1 или *1*2, не являющегося японцем, с вторичным прогрессирующим рассеянн</w:t>
      </w:r>
      <w:r w:rsidR="00482FB1">
        <w:rPr>
          <w:rFonts w:cs="Times New Roman"/>
          <w:sz w:val="24"/>
          <w:szCs w:val="24"/>
          <w:lang w:val="ru-RU"/>
        </w:rPr>
        <w:t>ым склерозом, что составляет 20</w:t>
      </w:r>
      <w:r w:rsidR="00482FB1">
        <w:rPr>
          <w:rFonts w:cs="Times New Roman"/>
          <w:sz w:val="24"/>
          <w:szCs w:val="24"/>
          <w:lang w:val="ru-RU"/>
        </w:rPr>
        <w:noBreakHyphen/>
      </w:r>
      <w:r w:rsidRPr="00383DBC">
        <w:rPr>
          <w:rFonts w:cs="Times New Roman"/>
          <w:sz w:val="24"/>
          <w:szCs w:val="24"/>
          <w:lang w:val="ru-RU"/>
        </w:rPr>
        <w:t>30</w:t>
      </w:r>
      <w:r w:rsidR="00482FB1">
        <w:rPr>
          <w:rFonts w:cs="Times New Roman"/>
          <w:sz w:val="24"/>
          <w:szCs w:val="24"/>
          <w:lang w:val="ru-RU"/>
        </w:rPr>
        <w:t> </w:t>
      </w:r>
      <w:r w:rsidRPr="00383DBC">
        <w:rPr>
          <w:rFonts w:cs="Times New Roman"/>
          <w:sz w:val="24"/>
          <w:szCs w:val="24"/>
          <w:lang w:val="ru-RU"/>
        </w:rPr>
        <w:t>% от исходного уровня. Низкое</w:t>
      </w:r>
      <w:r w:rsidR="00482FB1">
        <w:rPr>
          <w:rFonts w:cs="Times New Roman"/>
          <w:sz w:val="24"/>
          <w:szCs w:val="24"/>
          <w:lang w:val="ru-RU"/>
        </w:rPr>
        <w:t> </w:t>
      </w:r>
      <w:r w:rsidRPr="00383DBC">
        <w:rPr>
          <w:rFonts w:cs="Times New Roman"/>
          <w:sz w:val="24"/>
          <w:szCs w:val="24"/>
          <w:lang w:val="ru-RU"/>
        </w:rPr>
        <w:t>количество лимфоцитов сохраняется при ежедневном приеме препарата.</w:t>
      </w:r>
      <w:r w:rsidR="00482FB1">
        <w:rPr>
          <w:rFonts w:cs="Times New Roman"/>
          <w:sz w:val="24"/>
          <w:szCs w:val="24"/>
          <w:lang w:val="ru-RU"/>
        </w:rPr>
        <w:t xml:space="preserve"> </w:t>
      </w:r>
      <w:r w:rsidRPr="00383DBC">
        <w:rPr>
          <w:rFonts w:cs="Times New Roman"/>
          <w:sz w:val="24"/>
          <w:szCs w:val="24"/>
          <w:lang w:val="ru-RU"/>
        </w:rPr>
        <w:t>У</w:t>
      </w:r>
      <w:r w:rsidR="00482FB1">
        <w:rPr>
          <w:rFonts w:cs="Times New Roman"/>
          <w:sz w:val="24"/>
          <w:szCs w:val="24"/>
          <w:lang w:val="ru-RU"/>
        </w:rPr>
        <w:t> </w:t>
      </w:r>
      <w:r w:rsidRPr="00383DBC">
        <w:rPr>
          <w:rFonts w:cs="Times New Roman"/>
          <w:sz w:val="24"/>
          <w:szCs w:val="24"/>
          <w:lang w:val="ru-RU"/>
        </w:rPr>
        <w:t xml:space="preserve">подавляющего большинства (90 %) пациентов со вторичным прогрессирующим рассеянным склерозом количество лимфоцитов возвращается в нормальный диапазон в </w:t>
      </w:r>
      <w:r w:rsidRPr="00383DBC">
        <w:rPr>
          <w:rFonts w:cs="Times New Roman"/>
          <w:sz w:val="24"/>
          <w:szCs w:val="24"/>
          <w:lang w:val="ru-RU"/>
        </w:rPr>
        <w:lastRenderedPageBreak/>
        <w:t>течение 10 дней после прекращения терапии. После прекращения лечения сипонимодом остаточный эффект снижения количества периферических лимфоцитов может сохраня</w:t>
      </w:r>
      <w:r w:rsidR="00482FB1">
        <w:rPr>
          <w:rFonts w:cs="Times New Roman"/>
          <w:sz w:val="24"/>
          <w:szCs w:val="24"/>
          <w:lang w:val="ru-RU"/>
        </w:rPr>
        <w:t>ться в течение 3</w:t>
      </w:r>
      <w:r w:rsidR="00482FB1">
        <w:rPr>
          <w:rFonts w:cs="Times New Roman"/>
          <w:sz w:val="24"/>
          <w:szCs w:val="24"/>
          <w:lang w:val="ru-RU"/>
        </w:rPr>
        <w:noBreakHyphen/>
      </w:r>
      <w:r w:rsidRPr="00383DBC">
        <w:rPr>
          <w:rFonts w:cs="Times New Roman"/>
          <w:sz w:val="24"/>
          <w:szCs w:val="24"/>
          <w:lang w:val="ru-RU"/>
        </w:rPr>
        <w:t>4 недель после приема последней дозы.</w:t>
      </w:r>
    </w:p>
    <w:p w14:paraId="2DBA38CD" w14:textId="77777777" w:rsidR="00383DBC" w:rsidRPr="00383DBC" w:rsidRDefault="00383DBC" w:rsidP="002B0543">
      <w:pPr>
        <w:jc w:val="both"/>
        <w:rPr>
          <w:rFonts w:cs="Times New Roman"/>
          <w:i/>
          <w:iCs/>
          <w:sz w:val="24"/>
          <w:szCs w:val="24"/>
          <w:u w:val="single"/>
          <w:lang w:val="ru-RU"/>
        </w:rPr>
      </w:pPr>
      <w:r w:rsidRPr="00383DBC">
        <w:rPr>
          <w:rFonts w:cs="Times New Roman"/>
          <w:i/>
          <w:iCs/>
          <w:sz w:val="24"/>
          <w:szCs w:val="24"/>
          <w:u w:val="single"/>
          <w:lang w:val="ru-RU"/>
        </w:rPr>
        <w:t>Частота и ритм сердечных сокращений</w:t>
      </w:r>
    </w:p>
    <w:p w14:paraId="5C21CA8A" w14:textId="77777777" w:rsidR="00383DBC" w:rsidRPr="00383DBC" w:rsidRDefault="00383DBC" w:rsidP="002B0543">
      <w:pPr>
        <w:jc w:val="both"/>
        <w:rPr>
          <w:rFonts w:cs="Times New Roman"/>
          <w:sz w:val="24"/>
          <w:szCs w:val="24"/>
          <w:lang w:val="ru-RU"/>
        </w:rPr>
      </w:pPr>
      <w:r w:rsidRPr="00383DBC">
        <w:rPr>
          <w:rFonts w:cs="Times New Roman"/>
          <w:sz w:val="24"/>
          <w:szCs w:val="24"/>
          <w:lang w:val="ru-RU"/>
        </w:rPr>
        <w:t>Сипонимод вызывает преходящее снижение частоты сердечных сокращений и атриовентрикулярной проводимости в начале лечения (см. разделы 4.4 и 4.8), что теоретически связано с активацией G-белок-связанных калиевых каналов (GIRK) через стимуляцию S1P1-рецепторов, что приводит к клеточной гиперполяризации и снижению возбудимости. Благодаря функциональному антагонизму S1P1-рецепторов, начальное титрование сипонимода последовательно ослабляет чувствительность GIRK-каналов до достижения поддерживающей дозы.</w:t>
      </w:r>
    </w:p>
    <w:p w14:paraId="17640792" w14:textId="77777777" w:rsidR="00383DBC" w:rsidRPr="00383DBC" w:rsidRDefault="00383DBC" w:rsidP="002B0543">
      <w:pPr>
        <w:jc w:val="both"/>
        <w:rPr>
          <w:rFonts w:cs="Times New Roman"/>
          <w:i/>
          <w:iCs/>
          <w:sz w:val="24"/>
          <w:szCs w:val="24"/>
          <w:u w:val="single"/>
          <w:lang w:val="ru-RU"/>
        </w:rPr>
      </w:pPr>
      <w:r w:rsidRPr="00383DBC">
        <w:rPr>
          <w:rFonts w:cs="Times New Roman"/>
          <w:i/>
          <w:iCs/>
          <w:sz w:val="24"/>
          <w:szCs w:val="24"/>
          <w:u w:val="single"/>
          <w:lang w:val="ru-RU"/>
        </w:rPr>
        <w:t>Потенциал удлинения интервала QT</w:t>
      </w:r>
    </w:p>
    <w:p w14:paraId="0B707931" w14:textId="47D4B0C3" w:rsidR="00383DBC" w:rsidRPr="00482FB1" w:rsidRDefault="00383DBC" w:rsidP="002B0543">
      <w:pPr>
        <w:jc w:val="both"/>
        <w:rPr>
          <w:rFonts w:cs="Times New Roman"/>
          <w:sz w:val="24"/>
          <w:szCs w:val="24"/>
          <w:lang w:val="ru-RU"/>
        </w:rPr>
      </w:pPr>
      <w:r w:rsidRPr="00383DBC">
        <w:rPr>
          <w:rFonts w:cs="Times New Roman"/>
          <w:sz w:val="24"/>
          <w:szCs w:val="24"/>
          <w:lang w:val="ru-RU"/>
        </w:rPr>
        <w:t>Влияние терапевтических (2 мг) и супратерапевтических (10 мг) доз сипонимода на реполяризацию сердца было изучено в тщательном исследовании интервала QT. Результаты не указывают на аритмогенный потенциал, связанный с удлинением интервала QT при применении сипонимода. Сипонимод увеличивал скорректированный плацебо базовый средний QTcF (AAQTcF) более чем на 5 мс, с максимальным средним эффектом 7,8 мс (2 мг) и 7,2 мс (10 мг), соответственно, в 3 ч после приема. Верхняя граница одностороннего 95%-ного доверительного интервала для AAQTcF во всех временных точках оставалась ниже 10 мс. Категориальный анализ не выявил ни одного вызванного лечением значения QTc более 480 мс, ни одного увеличения QTc по сравнению с исходным уровнем более чем на 60 мс, ни одно скорректированное или некорректированное значение QT/QTc не превышало 500 мс.</w:t>
      </w:r>
      <w:r w:rsidR="00482FB1">
        <w:rPr>
          <w:rFonts w:cs="Times New Roman"/>
          <w:sz w:val="24"/>
          <w:szCs w:val="24"/>
          <w:lang w:val="ru-RU"/>
        </w:rPr>
        <w:t xml:space="preserve"> </w:t>
      </w:r>
      <w:r w:rsidRPr="00383DBC">
        <w:rPr>
          <w:rFonts w:cs="Times New Roman"/>
          <w:i/>
          <w:iCs/>
          <w:sz w:val="24"/>
          <w:szCs w:val="24"/>
          <w:u w:val="single"/>
          <w:lang w:val="ru-RU"/>
        </w:rPr>
        <w:t>Функция легких</w:t>
      </w:r>
    </w:p>
    <w:p w14:paraId="74E6158E" w14:textId="458E1317" w:rsidR="00383DBC" w:rsidRPr="00383DBC" w:rsidRDefault="00383DBC" w:rsidP="002B0543">
      <w:pPr>
        <w:jc w:val="both"/>
        <w:rPr>
          <w:rFonts w:cs="Times New Roman"/>
          <w:sz w:val="24"/>
          <w:szCs w:val="24"/>
          <w:lang w:val="ru-RU"/>
        </w:rPr>
      </w:pPr>
      <w:r w:rsidRPr="00383DBC">
        <w:rPr>
          <w:rFonts w:cs="Times New Roman"/>
          <w:sz w:val="24"/>
          <w:szCs w:val="24"/>
          <w:lang w:val="ru-RU"/>
        </w:rPr>
        <w:t>Лечение сипонимодом в одной или нескольких дозах в течение 28 дней не связано с клинически значимым увеличением сопротивления дыхательных путей, измеряемым по форсированному объему выдоха за 1 секунду (FEV</w:t>
      </w:r>
      <w:r w:rsidRPr="00383DBC">
        <w:rPr>
          <w:rFonts w:cs="Times New Roman"/>
          <w:sz w:val="24"/>
          <w:szCs w:val="24"/>
          <w:vertAlign w:val="subscript"/>
          <w:lang w:val="ru-RU"/>
        </w:rPr>
        <w:t>1</w:t>
      </w:r>
      <w:r w:rsidRPr="00383DBC">
        <w:rPr>
          <w:rFonts w:cs="Times New Roman"/>
          <w:sz w:val="24"/>
          <w:szCs w:val="24"/>
          <w:lang w:val="ru-RU"/>
        </w:rPr>
        <w:t>) и форсированному экспираторному потоку (FEF) во время выдоха от 25 до 75</w:t>
      </w:r>
      <w:r w:rsidR="00482FB1">
        <w:rPr>
          <w:rFonts w:cs="Times New Roman"/>
          <w:sz w:val="24"/>
          <w:szCs w:val="24"/>
          <w:lang w:val="ru-RU"/>
        </w:rPr>
        <w:t> </w:t>
      </w:r>
      <w:r w:rsidRPr="00383DBC">
        <w:rPr>
          <w:rFonts w:cs="Times New Roman"/>
          <w:sz w:val="24"/>
          <w:szCs w:val="24"/>
          <w:lang w:val="ru-RU"/>
        </w:rPr>
        <w:t>% от форсированной жизненной емкости (FEF</w:t>
      </w:r>
      <w:r w:rsidRPr="00383DBC">
        <w:rPr>
          <w:rFonts w:cs="Times New Roman"/>
          <w:sz w:val="24"/>
          <w:szCs w:val="24"/>
          <w:vertAlign w:val="subscript"/>
          <w:lang w:val="ru-RU"/>
        </w:rPr>
        <w:t>25-75%</w:t>
      </w:r>
      <w:r w:rsidRPr="00383DBC">
        <w:rPr>
          <w:rFonts w:cs="Times New Roman"/>
          <w:sz w:val="24"/>
          <w:szCs w:val="24"/>
          <w:lang w:val="ru-RU"/>
        </w:rPr>
        <w:t>). Небольшая тенденция к снижению FEV</w:t>
      </w:r>
      <w:r w:rsidRPr="00383DBC">
        <w:rPr>
          <w:rFonts w:cs="Times New Roman"/>
          <w:sz w:val="24"/>
          <w:szCs w:val="24"/>
          <w:vertAlign w:val="subscript"/>
          <w:lang w:val="ru-RU"/>
        </w:rPr>
        <w:t>1</w:t>
      </w:r>
      <w:r w:rsidRPr="00383DBC">
        <w:rPr>
          <w:rFonts w:cs="Times New Roman"/>
          <w:sz w:val="24"/>
          <w:szCs w:val="24"/>
          <w:lang w:val="ru-RU"/>
        </w:rPr>
        <w:t xml:space="preserve"> была выявлена при приеме не терапевтических разовых доз (&gt;10 мг). Многократные дозы сипонимода ассоциировались с легкими или умеренными изменениями FEV1 и FEF</w:t>
      </w:r>
      <w:r w:rsidRPr="00383DBC">
        <w:rPr>
          <w:rFonts w:cs="Times New Roman"/>
          <w:sz w:val="24"/>
          <w:szCs w:val="24"/>
          <w:vertAlign w:val="subscript"/>
          <w:lang w:val="ru-RU"/>
        </w:rPr>
        <w:t>25-75%</w:t>
      </w:r>
      <w:r w:rsidRPr="00383DBC">
        <w:rPr>
          <w:rFonts w:cs="Times New Roman"/>
          <w:sz w:val="24"/>
          <w:szCs w:val="24"/>
          <w:lang w:val="ru-RU"/>
        </w:rPr>
        <w:t>, которые не зависели от дозы и времени суток и не были связаны с какими-либо клиническими признаками повышения сопротивления дыхательных путей.</w:t>
      </w:r>
    </w:p>
    <w:p w14:paraId="39D5D0BD" w14:textId="77777777" w:rsidR="00383DBC" w:rsidRPr="00383DBC" w:rsidRDefault="00383DBC" w:rsidP="002B0543">
      <w:pPr>
        <w:jc w:val="both"/>
        <w:rPr>
          <w:rFonts w:cs="Times New Roman"/>
          <w:sz w:val="24"/>
          <w:szCs w:val="24"/>
          <w:u w:val="single"/>
          <w:lang w:val="ru-RU"/>
        </w:rPr>
      </w:pPr>
      <w:r w:rsidRPr="00383DBC">
        <w:rPr>
          <w:rFonts w:cs="Times New Roman"/>
          <w:sz w:val="24"/>
          <w:szCs w:val="24"/>
          <w:u w:val="single"/>
          <w:lang w:val="ru-RU"/>
        </w:rPr>
        <w:t>Клиническая эффективность и безопасность</w:t>
      </w:r>
    </w:p>
    <w:p w14:paraId="5AB5A8B8" w14:textId="77777777" w:rsidR="00383DBC" w:rsidRPr="00383DBC" w:rsidRDefault="00383DBC" w:rsidP="002B0543">
      <w:pPr>
        <w:jc w:val="both"/>
        <w:rPr>
          <w:rFonts w:cs="Times New Roman"/>
          <w:sz w:val="24"/>
          <w:szCs w:val="24"/>
          <w:lang w:val="ru-RU"/>
        </w:rPr>
      </w:pPr>
      <w:r w:rsidRPr="00383DBC">
        <w:rPr>
          <w:rFonts w:cs="Times New Roman"/>
          <w:sz w:val="24"/>
          <w:szCs w:val="24"/>
          <w:lang w:val="ru-RU"/>
        </w:rPr>
        <w:t>Эффективность сипонимода была изучена в исследовании III фазы, в котором рассматривалась однократная ежедневная доза 2 мг у пациентов с вторичным прогрессирующим рассеянным склерозом.</w:t>
      </w:r>
    </w:p>
    <w:p w14:paraId="06166E51" w14:textId="77777777" w:rsidR="00383DBC" w:rsidRPr="00383DBC" w:rsidRDefault="00383DBC" w:rsidP="002B0543">
      <w:pPr>
        <w:jc w:val="both"/>
        <w:rPr>
          <w:rFonts w:cs="Times New Roman"/>
          <w:i/>
          <w:iCs/>
          <w:sz w:val="24"/>
          <w:szCs w:val="24"/>
          <w:u w:val="single"/>
          <w:lang w:val="ru-RU"/>
        </w:rPr>
      </w:pPr>
      <w:r w:rsidRPr="00383DBC">
        <w:rPr>
          <w:rFonts w:cs="Times New Roman"/>
          <w:i/>
          <w:iCs/>
          <w:sz w:val="24"/>
          <w:szCs w:val="24"/>
          <w:u w:val="single"/>
          <w:lang w:val="ru-RU"/>
        </w:rPr>
        <w:t>Исследование A2304 (EXPAND) в рамках изучения вторичного прогрессирующего рассеянного склероза</w:t>
      </w:r>
    </w:p>
    <w:p w14:paraId="2592DA3E" w14:textId="1A16D6A6" w:rsidR="00383DBC" w:rsidRPr="00383DBC" w:rsidRDefault="00383DBC" w:rsidP="002B0543">
      <w:pPr>
        <w:jc w:val="both"/>
        <w:rPr>
          <w:rFonts w:cs="Times New Roman"/>
          <w:sz w:val="24"/>
          <w:szCs w:val="24"/>
          <w:lang w:val="ru-RU"/>
        </w:rPr>
      </w:pPr>
      <w:r w:rsidRPr="00383DBC">
        <w:rPr>
          <w:rFonts w:cs="Times New Roman"/>
          <w:sz w:val="24"/>
          <w:szCs w:val="24"/>
          <w:lang w:val="ru-RU"/>
        </w:rPr>
        <w:t>Исследование A2304 представляло собой рандомизированное двойное слепое плацебо-контролируемое исследование III фазы, в котором принимали участие пациенты с вторичным прогрессирующим рассеянным склерозом, имеющие документальное подтверждение прогрессирования заболевания в течение предшествующих 2 лет в отсутствие или независимо от рецидивов, без признаков рецидива в течение 3 месяцев до включения в исследование и со средним баллом по Расширенной шкале оценки состо</w:t>
      </w:r>
      <w:r w:rsidR="00482FB1">
        <w:rPr>
          <w:rFonts w:cs="Times New Roman"/>
          <w:sz w:val="24"/>
          <w:szCs w:val="24"/>
          <w:lang w:val="ru-RU"/>
        </w:rPr>
        <w:t xml:space="preserve">яния инвалидности (EDSS) от 3 </w:t>
      </w:r>
      <w:r w:rsidRPr="00383DBC">
        <w:rPr>
          <w:rFonts w:cs="Times New Roman"/>
          <w:sz w:val="24"/>
          <w:szCs w:val="24"/>
          <w:lang w:val="ru-RU"/>
        </w:rPr>
        <w:t>до 6,5 на момент начала исследования. М</w:t>
      </w:r>
      <w:r w:rsidR="00482FB1">
        <w:rPr>
          <w:rFonts w:cs="Times New Roman"/>
          <w:sz w:val="24"/>
          <w:szCs w:val="24"/>
          <w:lang w:val="ru-RU"/>
        </w:rPr>
        <w:t>едиана шкалы EDSS составляла 6</w:t>
      </w:r>
      <w:r w:rsidRPr="00383DBC">
        <w:rPr>
          <w:rFonts w:cs="Times New Roman"/>
          <w:sz w:val="24"/>
          <w:szCs w:val="24"/>
          <w:lang w:val="ru-RU"/>
        </w:rPr>
        <w:t xml:space="preserve"> на исходном уровне. Пациенты старше 61 года в исследование не включались. Что касается активности заболевания, то признаки, характерные для воспалительной активности при вторичном прогрессирующем рассеянном склерозе, могут быть связаны с рецидивом или с визуализацией (например, усиление ГД-излучения на Т1 или активные [новые или увеличивающиеся] очаги на Т2).</w:t>
      </w:r>
    </w:p>
    <w:p w14:paraId="0DCB3493" w14:textId="77777777" w:rsidR="00383DBC" w:rsidRPr="00383DBC" w:rsidRDefault="00383DBC" w:rsidP="002B0543">
      <w:pPr>
        <w:jc w:val="both"/>
        <w:rPr>
          <w:rFonts w:cs="Times New Roman"/>
          <w:sz w:val="24"/>
          <w:szCs w:val="24"/>
          <w:lang w:val="ru-RU"/>
        </w:rPr>
      </w:pPr>
      <w:r w:rsidRPr="00383DBC">
        <w:rPr>
          <w:rFonts w:cs="Times New Roman"/>
          <w:sz w:val="24"/>
          <w:szCs w:val="24"/>
          <w:lang w:val="ru-RU"/>
        </w:rPr>
        <w:lastRenderedPageBreak/>
        <w:t>Пациентов распределили случайным образом в соотношении 2:1 для приема сипонимода в дозе 2 мг один раз в день или плацебо. Клинические обследования проводились на этапе скрининга, каждые 3 месяца и в момент рецидива. МРТ проводилась на этапе скрининга и каждые 12 месяцев.</w:t>
      </w:r>
    </w:p>
    <w:p w14:paraId="47AC99C8" w14:textId="77777777" w:rsidR="00383DBC" w:rsidRPr="00383DBC" w:rsidRDefault="00383DBC" w:rsidP="002B0543">
      <w:pPr>
        <w:jc w:val="both"/>
        <w:rPr>
          <w:rFonts w:cs="Times New Roman"/>
          <w:sz w:val="24"/>
          <w:szCs w:val="24"/>
          <w:lang w:val="ru-RU"/>
        </w:rPr>
      </w:pPr>
      <w:r w:rsidRPr="00383DBC">
        <w:rPr>
          <w:rFonts w:cs="Times New Roman"/>
          <w:sz w:val="24"/>
          <w:szCs w:val="24"/>
          <w:lang w:val="ru-RU"/>
        </w:rPr>
        <w:t>Первичной конечной точкой исследования стало время до 3-месячного подтвержденного прогрессирования инвалидности (ППИ), определяемое как увеличение, по крайней мере, на 1 балл по сравнению с исходным уровнем по шкале EDSS (увеличение на 0,5 балла для пациентов с исходным уровнем по шкале EDSS 5,5 или более), сохраняющееся в течение 3 месяцев. Ключевыми вторичными конечными точками были время до 3-месячного подтвержденного ухудшения состояния не менее чем на 20% по сравнению с исходным уровнем в тесте ходьбы на 25 футов (T25W) и изменение объема поражения Т2 по сравнению с исходным уровнем. Дополнительные вторичные конечные точки включали время до 6-месячного подтвержденного прогрессирования инвалидности, процентное изменение объема мозга и показатели активности воспалительного процесса (годовая частота рецидивов, МРТ-поражения). Изменение скорости когнитивной обработки информации по результатам теста Symbol Digit Modality Test стало конечной точкой исследования.</w:t>
      </w:r>
    </w:p>
    <w:p w14:paraId="43947834" w14:textId="77777777" w:rsidR="00383DBC" w:rsidRPr="00383DBC" w:rsidRDefault="00383DBC" w:rsidP="002B0543">
      <w:pPr>
        <w:jc w:val="both"/>
        <w:rPr>
          <w:rFonts w:cs="Times New Roman"/>
          <w:sz w:val="24"/>
          <w:szCs w:val="24"/>
          <w:lang w:val="ru-RU"/>
        </w:rPr>
      </w:pPr>
      <w:r w:rsidRPr="00383DBC">
        <w:rPr>
          <w:rFonts w:cs="Times New Roman"/>
          <w:sz w:val="24"/>
          <w:szCs w:val="24"/>
          <w:lang w:val="ru-RU"/>
        </w:rPr>
        <w:t>Продолжительность исследования была различной для каждого пациента (медиана продолжительности исследования составила 21 месяц, диапазон: от 1 дня до 37 месяцев).</w:t>
      </w:r>
    </w:p>
    <w:p w14:paraId="31D447F8" w14:textId="0F34B460" w:rsidR="00383DBC" w:rsidRPr="00383DBC" w:rsidRDefault="00482FB1" w:rsidP="002B0543">
      <w:pPr>
        <w:jc w:val="both"/>
        <w:rPr>
          <w:rFonts w:cs="Times New Roman"/>
          <w:sz w:val="24"/>
          <w:szCs w:val="24"/>
          <w:lang w:val="ru-RU"/>
        </w:rPr>
      </w:pPr>
      <w:r>
        <w:rPr>
          <w:rFonts w:cs="Times New Roman"/>
          <w:sz w:val="24"/>
          <w:szCs w:val="24"/>
          <w:lang w:val="ru-RU"/>
        </w:rPr>
        <w:t>В ходе исследования 1</w:t>
      </w:r>
      <w:r w:rsidR="00383DBC" w:rsidRPr="00383DBC">
        <w:rPr>
          <w:rFonts w:cs="Times New Roman"/>
          <w:sz w:val="24"/>
          <w:szCs w:val="24"/>
          <w:lang w:val="ru-RU"/>
        </w:rPr>
        <w:t>651 пациента распределили в случайном порядке на две группы: пациенты,</w:t>
      </w:r>
      <w:r>
        <w:rPr>
          <w:rFonts w:cs="Times New Roman"/>
          <w:sz w:val="24"/>
          <w:szCs w:val="24"/>
          <w:lang w:val="ru-RU"/>
        </w:rPr>
        <w:t xml:space="preserve"> получавшие сипонимод 2 мг (N=1105) или плацебо (N=546); 82 </w:t>
      </w:r>
      <w:r w:rsidR="00383DBC" w:rsidRPr="00383DBC">
        <w:rPr>
          <w:rFonts w:cs="Times New Roman"/>
          <w:sz w:val="24"/>
          <w:szCs w:val="24"/>
          <w:lang w:val="ru-RU"/>
        </w:rPr>
        <w:t>% пациен</w:t>
      </w:r>
      <w:r>
        <w:rPr>
          <w:rFonts w:cs="Times New Roman"/>
          <w:sz w:val="24"/>
          <w:szCs w:val="24"/>
          <w:lang w:val="ru-RU"/>
        </w:rPr>
        <w:t>тов, получавших сипонимод, и 78 </w:t>
      </w:r>
      <w:r w:rsidR="00383DBC" w:rsidRPr="00383DBC">
        <w:rPr>
          <w:rFonts w:cs="Times New Roman"/>
          <w:sz w:val="24"/>
          <w:szCs w:val="24"/>
          <w:lang w:val="ru-RU"/>
        </w:rPr>
        <w:t xml:space="preserve">% пациентов, принимавших плацебо, завершили исследование. Средний возраст пациентов составил 49 лет, средняя продолжительность заболевания - 16 лет, </w:t>
      </w:r>
      <w:r>
        <w:rPr>
          <w:rFonts w:cs="Times New Roman"/>
          <w:sz w:val="24"/>
          <w:szCs w:val="24"/>
          <w:lang w:val="ru-RU"/>
        </w:rPr>
        <w:t>средний балл по шкале EDSS - 6 на исходном уровне. У 64 </w:t>
      </w:r>
      <w:r w:rsidR="00383DBC" w:rsidRPr="00383DBC">
        <w:rPr>
          <w:rFonts w:cs="Times New Roman"/>
          <w:sz w:val="24"/>
          <w:szCs w:val="24"/>
          <w:lang w:val="ru-RU"/>
        </w:rPr>
        <w:t>% пациентов не наблюдалось рецидивов в течение 2 лет до начала исследования, а у 76</w:t>
      </w:r>
      <w:r>
        <w:rPr>
          <w:rFonts w:cs="Times New Roman"/>
          <w:sz w:val="24"/>
          <w:szCs w:val="24"/>
          <w:lang w:val="ru-RU"/>
        </w:rPr>
        <w:t> </w:t>
      </w:r>
      <w:r w:rsidR="00383DBC" w:rsidRPr="00383DBC">
        <w:rPr>
          <w:rFonts w:cs="Times New Roman"/>
          <w:sz w:val="24"/>
          <w:szCs w:val="24"/>
          <w:lang w:val="ru-RU"/>
        </w:rPr>
        <w:t>% не было поражений, усиливающихся гадолинием (Gd), на исходной МРТ. 78</w:t>
      </w:r>
      <w:r>
        <w:rPr>
          <w:rFonts w:cs="Times New Roman"/>
          <w:sz w:val="24"/>
          <w:szCs w:val="24"/>
          <w:lang w:val="ru-RU"/>
        </w:rPr>
        <w:t> </w:t>
      </w:r>
      <w:r w:rsidR="00383DBC" w:rsidRPr="00383DBC">
        <w:rPr>
          <w:rFonts w:cs="Times New Roman"/>
          <w:sz w:val="24"/>
          <w:szCs w:val="24"/>
          <w:lang w:val="ru-RU"/>
        </w:rPr>
        <w:t>% пациентов ранее проходили терапию по поводу рассеянного склероза.</w:t>
      </w:r>
    </w:p>
    <w:p w14:paraId="37D9D035" w14:textId="5FEC655F" w:rsidR="00383DBC" w:rsidRDefault="00383DBC" w:rsidP="002B0543">
      <w:pPr>
        <w:jc w:val="both"/>
        <w:rPr>
          <w:rFonts w:cs="Times New Roman"/>
          <w:sz w:val="24"/>
          <w:szCs w:val="24"/>
          <w:lang w:val="ru-RU"/>
        </w:rPr>
      </w:pPr>
      <w:r w:rsidRPr="00383DBC">
        <w:rPr>
          <w:rFonts w:cs="Times New Roman"/>
          <w:sz w:val="24"/>
          <w:szCs w:val="24"/>
          <w:lang w:val="ru-RU"/>
        </w:rPr>
        <w:t>Время до наступления 3-месячного и 6-месячного подтвержденного прогрессирования инвалидности было значительно отсрочено пр</w:t>
      </w:r>
      <w:r w:rsidR="00482FB1">
        <w:rPr>
          <w:rFonts w:cs="Times New Roman"/>
          <w:sz w:val="24"/>
          <w:szCs w:val="24"/>
          <w:lang w:val="ru-RU"/>
        </w:rPr>
        <w:t>и применении сипонимода: риск 3</w:t>
      </w:r>
      <w:r w:rsidR="00482FB1">
        <w:rPr>
          <w:rFonts w:cs="Times New Roman"/>
          <w:sz w:val="24"/>
          <w:szCs w:val="24"/>
          <w:lang w:val="ru-RU"/>
        </w:rPr>
        <w:noBreakHyphen/>
      </w:r>
      <w:r w:rsidRPr="00383DBC">
        <w:rPr>
          <w:rFonts w:cs="Times New Roman"/>
          <w:sz w:val="24"/>
          <w:szCs w:val="24"/>
          <w:lang w:val="ru-RU"/>
        </w:rPr>
        <w:t>месячного подтвержденного прогрессирования инвалидности снизился на 21</w:t>
      </w:r>
      <w:r w:rsidR="00482FB1">
        <w:rPr>
          <w:rFonts w:cs="Times New Roman"/>
          <w:sz w:val="24"/>
          <w:szCs w:val="24"/>
          <w:lang w:val="ru-RU"/>
        </w:rPr>
        <w:t> </w:t>
      </w:r>
      <w:r w:rsidRPr="00383DBC">
        <w:rPr>
          <w:rFonts w:cs="Times New Roman"/>
          <w:sz w:val="24"/>
          <w:szCs w:val="24"/>
          <w:lang w:val="ru-RU"/>
        </w:rPr>
        <w:t>% по сравнению с плацебо (отношение рисков [HR] 0,79, p=0,0134), а риск 6-месячного подтвержденного прогрессирования инвалидности снизился на 26</w:t>
      </w:r>
      <w:r w:rsidR="00482FB1">
        <w:rPr>
          <w:rFonts w:cs="Times New Roman"/>
          <w:sz w:val="24"/>
          <w:szCs w:val="24"/>
          <w:lang w:val="ru-RU"/>
        </w:rPr>
        <w:t> </w:t>
      </w:r>
      <w:r w:rsidRPr="00383DBC">
        <w:rPr>
          <w:rFonts w:cs="Times New Roman"/>
          <w:sz w:val="24"/>
          <w:szCs w:val="24"/>
          <w:lang w:val="ru-RU"/>
        </w:rPr>
        <w:t>% по сравнению с плацебо (HR 0,74, p=0,0058).</w:t>
      </w:r>
    </w:p>
    <w:p w14:paraId="0AF9D91D" w14:textId="77777777" w:rsidR="00482FB1" w:rsidRPr="00383DBC" w:rsidRDefault="00482FB1" w:rsidP="002B0543">
      <w:pPr>
        <w:jc w:val="both"/>
        <w:rPr>
          <w:rFonts w:cs="Times New Roman"/>
          <w:sz w:val="24"/>
          <w:szCs w:val="24"/>
          <w:lang w:val="ru-RU"/>
        </w:rPr>
      </w:pPr>
    </w:p>
    <w:p w14:paraId="3A15564C" w14:textId="77777777" w:rsidR="00383DBC" w:rsidRPr="00383DBC" w:rsidRDefault="00383DBC" w:rsidP="002B0543">
      <w:pPr>
        <w:jc w:val="both"/>
        <w:rPr>
          <w:rFonts w:cs="Times New Roman"/>
          <w:b/>
          <w:bCs/>
          <w:sz w:val="24"/>
          <w:szCs w:val="24"/>
          <w:lang w:val="ru-RU"/>
        </w:rPr>
      </w:pPr>
      <w:r w:rsidRPr="00383DBC">
        <w:rPr>
          <w:rFonts w:cs="Times New Roman"/>
          <w:b/>
          <w:bCs/>
          <w:sz w:val="24"/>
          <w:szCs w:val="24"/>
          <w:lang w:val="ru-RU"/>
        </w:rPr>
        <w:t>Рисунок 1: Пациенты с 3- и 6-месячным подтвержденным прогрессированием инвалидности, основанным на шкале EDSS, согласно кривым Каплана-Мейера (полный набор данных, исследование A2304)</w:t>
      </w:r>
    </w:p>
    <w:p w14:paraId="5F9C81AA" w14:textId="6A9A5D64" w:rsidR="00383DBC" w:rsidRPr="00383DBC" w:rsidRDefault="00383DBC" w:rsidP="00383DBC">
      <w:pPr>
        <w:jc w:val="both"/>
        <w:rPr>
          <w:rFonts w:cs="Times New Roman"/>
          <w:sz w:val="24"/>
          <w:szCs w:val="24"/>
          <w:lang w:val="ru-RU"/>
        </w:rPr>
      </w:pPr>
      <w:r w:rsidRPr="00383DBC">
        <w:rPr>
          <w:rFonts w:cs="Times New Roman"/>
          <w:noProof/>
          <w:sz w:val="24"/>
          <w:szCs w:val="24"/>
          <w:lang w:val="ru-RU" w:eastAsia="ru-RU"/>
        </w:rPr>
        <mc:AlternateContent>
          <mc:Choice Requires="wps">
            <w:drawing>
              <wp:anchor distT="0" distB="0" distL="114300" distR="114300" simplePos="0" relativeHeight="251660288" behindDoc="0" locked="0" layoutInCell="1" allowOverlap="1" wp14:anchorId="387A4B34" wp14:editId="555CF7C6">
                <wp:simplePos x="0" y="0"/>
                <wp:positionH relativeFrom="column">
                  <wp:posOffset>3276600</wp:posOffset>
                </wp:positionH>
                <wp:positionV relativeFrom="paragraph">
                  <wp:posOffset>45720</wp:posOffset>
                </wp:positionV>
                <wp:extent cx="2514600" cy="457200"/>
                <wp:effectExtent l="0" t="0" r="3810" b="444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0D0442" w14:textId="77777777" w:rsidR="00FE7873" w:rsidRPr="00383DBC" w:rsidRDefault="00FE7873" w:rsidP="00383DBC">
                            <w:pPr>
                              <w:jc w:val="center"/>
                              <w:rPr>
                                <w:sz w:val="16"/>
                                <w:szCs w:val="16"/>
                                <w:lang w:val="ru-RU"/>
                              </w:rPr>
                            </w:pPr>
                            <w:r w:rsidRPr="00383DBC">
                              <w:rPr>
                                <w:rStyle w:val="afe"/>
                                <w:lang w:val="ru-RU"/>
                              </w:rPr>
                              <w:t xml:space="preserve">Время до </w:t>
                            </w:r>
                            <w:r>
                              <w:rPr>
                                <w:rStyle w:val="afe"/>
                                <w:lang w:val="ru-RU"/>
                              </w:rPr>
                              <w:t>6</w:t>
                            </w:r>
                            <w:r w:rsidRPr="00383DBC">
                              <w:rPr>
                                <w:rStyle w:val="afe"/>
                                <w:lang w:val="ru-RU"/>
                              </w:rPr>
                              <w:t xml:space="preserve">-месячного </w:t>
                            </w:r>
                            <w:r>
                              <w:rPr>
                                <w:rStyle w:val="afe"/>
                                <w:lang w:val="ru-RU"/>
                              </w:rPr>
                              <w:t xml:space="preserve">подтвержденного прогрессирования инвалидности </w:t>
                            </w:r>
                            <w:r w:rsidRPr="00383DBC">
                              <w:rPr>
                                <w:rStyle w:val="afe"/>
                                <w:lang w:val="ru-RU"/>
                              </w:rPr>
                              <w:t>в сравнении с плацебо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7A4B34" id="Прямоугольник 23" o:spid="_x0000_s1026" style="position:absolute;left:0;text-align:left;margin-left:258pt;margin-top:3.6pt;width:198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" stroked="f">
                <v:textbox>
                  <w:txbxContent>
                    <w:p w14:paraId="070D0442" w14:textId="77777777" w:rsidR="00FE7873" w:rsidRPr="00383DBC" w:rsidRDefault="00FE7873" w:rsidP="00383DBC">
                      <w:pPr>
                        <w:jc w:val="center"/>
                        <w:rPr>
                          <w:sz w:val="16"/>
                          <w:szCs w:val="16"/>
                          <w:lang w:val="ru-RU"/>
                        </w:rPr>
                      </w:pPr>
                      <w:r w:rsidRPr="00383DBC">
                        <w:rPr>
                          <w:rStyle w:val="afe"/>
                          <w:lang w:val="ru-RU"/>
                        </w:rPr>
                        <w:t xml:space="preserve">Время до </w:t>
                      </w:r>
                      <w:r>
                        <w:rPr>
                          <w:rStyle w:val="afe"/>
                          <w:lang w:val="ru-RU"/>
                        </w:rPr>
                        <w:t>6</w:t>
                      </w:r>
                      <w:r w:rsidRPr="00383DBC">
                        <w:rPr>
                          <w:rStyle w:val="afe"/>
                          <w:lang w:val="ru-RU"/>
                        </w:rPr>
                        <w:t xml:space="preserve">-месячного </w:t>
                      </w:r>
                      <w:r>
                        <w:rPr>
                          <w:rStyle w:val="afe"/>
                          <w:lang w:val="ru-RU"/>
                        </w:rPr>
                        <w:t xml:space="preserve">подтвержденного прогрессирования инвалидности </w:t>
                      </w:r>
                      <w:r w:rsidRPr="00383DBC">
                        <w:rPr>
                          <w:rStyle w:val="afe"/>
                          <w:lang w:val="ru-RU"/>
                        </w:rPr>
                        <w:t>в сравнении с плацебо</w:t>
                      </w:r>
                    </w:p>
                  </w:txbxContent>
                </v:textbox>
              </v:rect>
            </w:pict>
          </mc:Fallback>
        </mc:AlternateContent>
      </w:r>
      <w:r w:rsidRPr="00383DBC">
        <w:rPr>
          <w:rFonts w:cs="Times New Roman"/>
          <w:noProof/>
          <w:sz w:val="24"/>
          <w:szCs w:val="24"/>
          <w:lang w:val="ru-RU" w:eastAsia="ru-RU"/>
        </w:rPr>
        <mc:AlternateContent>
          <mc:Choice Requires="wps">
            <w:drawing>
              <wp:anchor distT="0" distB="0" distL="114300" distR="114300" simplePos="0" relativeHeight="251659264" behindDoc="0" locked="0" layoutInCell="1" allowOverlap="1" wp14:anchorId="46A3C8D5" wp14:editId="43C04ABA">
                <wp:simplePos x="0" y="0"/>
                <wp:positionH relativeFrom="column">
                  <wp:posOffset>533400</wp:posOffset>
                </wp:positionH>
                <wp:positionV relativeFrom="paragraph">
                  <wp:posOffset>45720</wp:posOffset>
                </wp:positionV>
                <wp:extent cx="2514600" cy="571500"/>
                <wp:effectExtent l="0" t="0" r="3810" b="444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8134F0" w14:textId="77777777" w:rsidR="00FE7873" w:rsidRPr="00383DBC" w:rsidRDefault="00FE7873" w:rsidP="00383DBC">
                            <w:pPr>
                              <w:jc w:val="center"/>
                              <w:rPr>
                                <w:sz w:val="16"/>
                                <w:szCs w:val="16"/>
                                <w:lang w:val="ru-RU"/>
                              </w:rPr>
                            </w:pPr>
                            <w:r w:rsidRPr="00383DBC">
                              <w:rPr>
                                <w:rStyle w:val="afe"/>
                                <w:lang w:val="ru-RU"/>
                              </w:rPr>
                              <w:t xml:space="preserve">Время до 3-месячного </w:t>
                            </w:r>
                            <w:r>
                              <w:rPr>
                                <w:rStyle w:val="afe"/>
                                <w:lang w:val="ru-RU"/>
                              </w:rPr>
                              <w:t xml:space="preserve">подтвержденного прогрессирования инвалидности </w:t>
                            </w:r>
                            <w:r w:rsidRPr="00383DBC">
                              <w:rPr>
                                <w:rStyle w:val="afe"/>
                                <w:lang w:val="ru-RU"/>
                              </w:rPr>
                              <w:t>в сравнении с плацебо</w:t>
                            </w:r>
                            <w:r w:rsidRPr="00383DBC">
                              <w:rPr>
                                <w:sz w:val="16"/>
                                <w:szCs w:val="16"/>
                                <w:lang w:val="ru-RU"/>
                              </w:rPr>
                              <w:br/>
                              <w:t>(Основная конечная точка)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3C8D5" id="Прямоугольник 22" o:spid="_x0000_s1027" style="position:absolute;left:0;text-align:left;margin-left:42pt;margin-top:3.6pt;width:19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" stroked="f">
                <v:textbox>
                  <w:txbxContent>
                    <w:p w14:paraId="708134F0" w14:textId="77777777" w:rsidR="00FE7873" w:rsidRPr="00383DBC" w:rsidRDefault="00FE7873" w:rsidP="00383DBC">
                      <w:pPr>
                        <w:jc w:val="center"/>
                        <w:rPr>
                          <w:sz w:val="16"/>
                          <w:szCs w:val="16"/>
                          <w:lang w:val="ru-RU"/>
                        </w:rPr>
                      </w:pPr>
                      <w:r w:rsidRPr="00383DBC">
                        <w:rPr>
                          <w:rStyle w:val="afe"/>
                          <w:lang w:val="ru-RU"/>
                        </w:rPr>
                        <w:t xml:space="preserve">Время до 3-месячного </w:t>
                      </w:r>
                      <w:r>
                        <w:rPr>
                          <w:rStyle w:val="afe"/>
                          <w:lang w:val="ru-RU"/>
                        </w:rPr>
                        <w:t xml:space="preserve">подтвержденного прогрессирования инвалидности </w:t>
                      </w:r>
                      <w:r w:rsidRPr="00383DBC">
                        <w:rPr>
                          <w:rStyle w:val="afe"/>
                          <w:lang w:val="ru-RU"/>
                        </w:rPr>
                        <w:t>в сравнении с плацебо</w:t>
                      </w:r>
                      <w:r w:rsidRPr="00383DBC">
                        <w:rPr>
                          <w:sz w:val="16"/>
                          <w:szCs w:val="16"/>
                          <w:lang w:val="ru-RU"/>
                        </w:rPr>
                        <w:br/>
                        <w:t>(Основная конечная точка)</w:t>
                      </w:r>
                    </w:p>
                  </w:txbxContent>
                </v:textbox>
              </v:rect>
            </w:pict>
          </mc:Fallback>
        </mc:AlternateContent>
      </w:r>
    </w:p>
    <w:p w14:paraId="122751B8" w14:textId="5558D5FC" w:rsidR="00383DBC" w:rsidRPr="00383DBC" w:rsidRDefault="00383DBC" w:rsidP="00383DBC">
      <w:pPr>
        <w:jc w:val="both"/>
        <w:rPr>
          <w:rFonts w:cs="Times New Roman"/>
          <w:sz w:val="24"/>
          <w:szCs w:val="24"/>
          <w:lang w:val="ru-RU"/>
        </w:rPr>
      </w:pPr>
      <w:r w:rsidRPr="00383DBC">
        <w:rPr>
          <w:rFonts w:cs="Times New Roman"/>
          <w:noProof/>
          <w:sz w:val="24"/>
          <w:szCs w:val="24"/>
          <w:lang w:val="ru-RU" w:eastAsia="ru-RU"/>
        </w:rPr>
        <w:lastRenderedPageBreak/>
        <mc:AlternateContent>
          <mc:Choice Requires="wps">
            <w:drawing>
              <wp:anchor distT="0" distB="0" distL="114300" distR="114300" simplePos="0" relativeHeight="251666432" behindDoc="0" locked="0" layoutInCell="1" allowOverlap="1" wp14:anchorId="145C5D09" wp14:editId="6B1D126D">
                <wp:simplePos x="0" y="0"/>
                <wp:positionH relativeFrom="column">
                  <wp:posOffset>4267200</wp:posOffset>
                </wp:positionH>
                <wp:positionV relativeFrom="paragraph">
                  <wp:posOffset>2742565</wp:posOffset>
                </wp:positionV>
                <wp:extent cx="1143000" cy="228600"/>
                <wp:effectExtent l="0" t="0" r="3810" b="444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A573B5" w14:textId="77777777" w:rsidR="00FE7873" w:rsidRPr="002A3BF7" w:rsidRDefault="00FE7873" w:rsidP="00383DBC">
                            <w:pPr>
                              <w:rPr>
                                <w:sz w:val="16"/>
                                <w:szCs w:val="16"/>
                                <w:lang w:val="ru-RU"/>
                              </w:rPr>
                            </w:pPr>
                            <w:r>
                              <w:rPr>
                                <w:sz w:val="16"/>
                                <w:szCs w:val="16"/>
                                <w:lang w:val="ru-RU"/>
                              </w:rPr>
                              <w:t>Месяц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5C5D09" id="Прямоугольник 21" o:spid="_x0000_s1028" style="position:absolute;left:0;text-align:left;margin-left:336pt;margin-top:215.95pt;width:90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" stroked="f">
                <v:textbox>
                  <w:txbxContent>
                    <w:p w14:paraId="40A573B5" w14:textId="77777777" w:rsidR="00FE7873" w:rsidRPr="002A3BF7" w:rsidRDefault="00FE7873" w:rsidP="00383DBC">
                      <w:pPr>
                        <w:rPr>
                          <w:sz w:val="16"/>
                          <w:szCs w:val="16"/>
                          <w:lang w:val="ru-RU"/>
                        </w:rPr>
                      </w:pPr>
                      <w:r>
                        <w:rPr>
                          <w:sz w:val="16"/>
                          <w:szCs w:val="16"/>
                          <w:lang w:val="ru-RU"/>
                        </w:rPr>
                        <w:t>Месяц исследования</w:t>
                      </w:r>
                    </w:p>
                  </w:txbxContent>
                </v:textbox>
              </v:rect>
            </w:pict>
          </mc:Fallback>
        </mc:AlternateContent>
      </w:r>
      <w:r w:rsidRPr="00383DBC">
        <w:rPr>
          <w:rFonts w:cs="Times New Roman"/>
          <w:noProof/>
          <w:sz w:val="24"/>
          <w:szCs w:val="24"/>
          <w:lang w:val="ru-RU" w:eastAsia="ru-RU"/>
        </w:rPr>
        <mc:AlternateContent>
          <mc:Choice Requires="wps">
            <w:drawing>
              <wp:anchor distT="0" distB="0" distL="114300" distR="114300" simplePos="0" relativeHeight="251665408" behindDoc="0" locked="0" layoutInCell="1" allowOverlap="1" wp14:anchorId="3669EAF3" wp14:editId="54B9DCAF">
                <wp:simplePos x="0" y="0"/>
                <wp:positionH relativeFrom="column">
                  <wp:posOffset>1524000</wp:posOffset>
                </wp:positionH>
                <wp:positionV relativeFrom="paragraph">
                  <wp:posOffset>2742565</wp:posOffset>
                </wp:positionV>
                <wp:extent cx="1143000" cy="228600"/>
                <wp:effectExtent l="0" t="0" r="3810" b="444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31EC9" w14:textId="77777777" w:rsidR="00FE7873" w:rsidRPr="002A3BF7" w:rsidRDefault="00FE7873" w:rsidP="00383DBC">
                            <w:pPr>
                              <w:rPr>
                                <w:sz w:val="16"/>
                                <w:szCs w:val="16"/>
                                <w:lang w:val="ru-RU"/>
                              </w:rPr>
                            </w:pPr>
                            <w:r>
                              <w:rPr>
                                <w:sz w:val="16"/>
                                <w:szCs w:val="16"/>
                                <w:lang w:val="ru-RU"/>
                              </w:rPr>
                              <w:t>Месяц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69EAF3" id="Прямоугольник 20" o:spid="_x0000_s1029" style="position:absolute;left:0;text-align:left;margin-left:120pt;margin-top:215.95pt;width:90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" stroked="f">
                <v:textbox>
                  <w:txbxContent>
                    <w:p w14:paraId="19231EC9" w14:textId="77777777" w:rsidR="00FE7873" w:rsidRPr="002A3BF7" w:rsidRDefault="00FE7873" w:rsidP="00383DBC">
                      <w:pPr>
                        <w:rPr>
                          <w:sz w:val="16"/>
                          <w:szCs w:val="16"/>
                          <w:lang w:val="ru-RU"/>
                        </w:rPr>
                      </w:pPr>
                      <w:r>
                        <w:rPr>
                          <w:sz w:val="16"/>
                          <w:szCs w:val="16"/>
                          <w:lang w:val="ru-RU"/>
                        </w:rPr>
                        <w:t>Месяц исследования</w:t>
                      </w:r>
                    </w:p>
                  </w:txbxContent>
                </v:textbox>
              </v:rect>
            </w:pict>
          </mc:Fallback>
        </mc:AlternateContent>
      </w:r>
      <w:r w:rsidRPr="00383DBC">
        <w:rPr>
          <w:rFonts w:cs="Times New Roman"/>
          <w:noProof/>
          <w:sz w:val="24"/>
          <w:szCs w:val="24"/>
          <w:lang w:val="ru-RU" w:eastAsia="ru-RU"/>
        </w:rPr>
        <mc:AlternateContent>
          <mc:Choice Requires="wps">
            <w:drawing>
              <wp:anchor distT="0" distB="0" distL="114300" distR="114300" simplePos="0" relativeHeight="251664384" behindDoc="0" locked="0" layoutInCell="1" allowOverlap="1" wp14:anchorId="18674D76" wp14:editId="0E8ABBC0">
                <wp:simplePos x="0" y="0"/>
                <wp:positionH relativeFrom="column">
                  <wp:posOffset>4038600</wp:posOffset>
                </wp:positionH>
                <wp:positionV relativeFrom="paragraph">
                  <wp:posOffset>1942465</wp:posOffset>
                </wp:positionV>
                <wp:extent cx="1828800" cy="457200"/>
                <wp:effectExtent l="0" t="0" r="3810" b="444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3BF328" w14:textId="77777777" w:rsidR="00FE7873" w:rsidRPr="00383DBC" w:rsidRDefault="00FE7873" w:rsidP="00383DBC">
                            <w:pPr>
                              <w:rPr>
                                <w:sz w:val="16"/>
                                <w:szCs w:val="16"/>
                                <w:lang w:val="ru-RU"/>
                              </w:rPr>
                            </w:pPr>
                            <w:r>
                              <w:rPr>
                                <w:sz w:val="16"/>
                                <w:szCs w:val="16"/>
                                <w:lang w:val="ru-RU"/>
                              </w:rPr>
                              <w:t>Соотношение</w:t>
                            </w:r>
                            <w:r w:rsidRPr="00383DBC">
                              <w:rPr>
                                <w:sz w:val="16"/>
                                <w:szCs w:val="16"/>
                                <w:lang w:val="ru-RU"/>
                              </w:rPr>
                              <w:t xml:space="preserve"> риска: 0,7</w:t>
                            </w:r>
                            <w:r>
                              <w:rPr>
                                <w:sz w:val="16"/>
                                <w:szCs w:val="16"/>
                                <w:lang w:val="ru-RU"/>
                              </w:rPr>
                              <w:t>4</w:t>
                            </w:r>
                            <w:r w:rsidRPr="00383DBC">
                              <w:rPr>
                                <w:sz w:val="16"/>
                                <w:szCs w:val="16"/>
                                <w:lang w:val="ru-RU"/>
                              </w:rPr>
                              <w:t xml:space="preserve">, </w:t>
                            </w:r>
                            <w:r w:rsidRPr="002A3BF7">
                              <w:rPr>
                                <w:sz w:val="16"/>
                                <w:szCs w:val="16"/>
                              </w:rPr>
                              <w:t>p</w:t>
                            </w:r>
                            <w:r w:rsidRPr="00383DBC">
                              <w:rPr>
                                <w:sz w:val="16"/>
                                <w:szCs w:val="16"/>
                                <w:lang w:val="ru-RU"/>
                              </w:rPr>
                              <w:t>=0,</w:t>
                            </w:r>
                            <w:r>
                              <w:rPr>
                                <w:sz w:val="16"/>
                                <w:szCs w:val="16"/>
                                <w:lang w:val="ru-RU"/>
                              </w:rPr>
                              <w:t>0058</w:t>
                            </w:r>
                            <w:r w:rsidRPr="00383DBC">
                              <w:rPr>
                                <w:sz w:val="16"/>
                                <w:szCs w:val="16"/>
                                <w:lang w:val="ru-RU"/>
                              </w:rPr>
                              <w:t>; (95% ДИ: 0,6</w:t>
                            </w:r>
                            <w:r>
                              <w:rPr>
                                <w:sz w:val="16"/>
                                <w:szCs w:val="16"/>
                                <w:lang w:val="ru-RU"/>
                              </w:rPr>
                              <w:t>0</w:t>
                            </w:r>
                            <w:r w:rsidRPr="00383DBC">
                              <w:rPr>
                                <w:sz w:val="16"/>
                                <w:szCs w:val="16"/>
                                <w:lang w:val="ru-RU"/>
                              </w:rPr>
                              <w:t>-0,9</w:t>
                            </w:r>
                            <w:r>
                              <w:rPr>
                                <w:sz w:val="16"/>
                                <w:szCs w:val="16"/>
                                <w:lang w:val="ru-RU"/>
                              </w:rPr>
                              <w:t>2</w:t>
                            </w:r>
                            <w:r w:rsidRPr="00383DBC">
                              <w:rPr>
                                <w:sz w:val="16"/>
                                <w:szCs w:val="16"/>
                                <w:lang w:val="ru-RU"/>
                              </w:rPr>
                              <w:t>); снижение риска: 2</w:t>
                            </w:r>
                            <w:r>
                              <w:rPr>
                                <w:sz w:val="16"/>
                                <w:szCs w:val="16"/>
                                <w:lang w:val="ru-RU"/>
                              </w:rPr>
                              <w:t>6</w:t>
                            </w:r>
                            <w:r w:rsidRPr="00383DBC">
                              <w:rPr>
                                <w:sz w:val="16"/>
                                <w:szCs w:val="16"/>
                                <w:lang w:val="ru-RU"/>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74D76" id="Прямоугольник 19" o:spid="_x0000_s1030" style="position:absolute;left:0;text-align:left;margin-left:318pt;margin-top:152.95pt;width:2in;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" stroked="f">
                <v:textbox>
                  <w:txbxContent>
                    <w:p w14:paraId="633BF328" w14:textId="77777777" w:rsidR="00FE7873" w:rsidRPr="00383DBC" w:rsidRDefault="00FE7873" w:rsidP="00383DBC">
                      <w:pPr>
                        <w:rPr>
                          <w:sz w:val="16"/>
                          <w:szCs w:val="16"/>
                          <w:lang w:val="ru-RU"/>
                        </w:rPr>
                      </w:pPr>
                      <w:r>
                        <w:rPr>
                          <w:sz w:val="16"/>
                          <w:szCs w:val="16"/>
                          <w:lang w:val="ru-RU"/>
                        </w:rPr>
                        <w:t>Соотношение</w:t>
                      </w:r>
                      <w:r w:rsidRPr="00383DBC">
                        <w:rPr>
                          <w:sz w:val="16"/>
                          <w:szCs w:val="16"/>
                          <w:lang w:val="ru-RU"/>
                        </w:rPr>
                        <w:t xml:space="preserve"> риска: 0,7</w:t>
                      </w:r>
                      <w:r>
                        <w:rPr>
                          <w:sz w:val="16"/>
                          <w:szCs w:val="16"/>
                          <w:lang w:val="ru-RU"/>
                        </w:rPr>
                        <w:t>4</w:t>
                      </w:r>
                      <w:r w:rsidRPr="00383DBC">
                        <w:rPr>
                          <w:sz w:val="16"/>
                          <w:szCs w:val="16"/>
                          <w:lang w:val="ru-RU"/>
                        </w:rPr>
                        <w:t xml:space="preserve">, </w:t>
                      </w:r>
                      <w:r w:rsidRPr="002A3BF7">
                        <w:rPr>
                          <w:sz w:val="16"/>
                          <w:szCs w:val="16"/>
                        </w:rPr>
                        <w:t>p</w:t>
                      </w:r>
                      <w:r w:rsidRPr="00383DBC">
                        <w:rPr>
                          <w:sz w:val="16"/>
                          <w:szCs w:val="16"/>
                          <w:lang w:val="ru-RU"/>
                        </w:rPr>
                        <w:t>=0,</w:t>
                      </w:r>
                      <w:r>
                        <w:rPr>
                          <w:sz w:val="16"/>
                          <w:szCs w:val="16"/>
                          <w:lang w:val="ru-RU"/>
                        </w:rPr>
                        <w:t>0058</w:t>
                      </w:r>
                      <w:r w:rsidRPr="00383DBC">
                        <w:rPr>
                          <w:sz w:val="16"/>
                          <w:szCs w:val="16"/>
                          <w:lang w:val="ru-RU"/>
                        </w:rPr>
                        <w:t>; (95% ДИ: 0,6</w:t>
                      </w:r>
                      <w:r>
                        <w:rPr>
                          <w:sz w:val="16"/>
                          <w:szCs w:val="16"/>
                          <w:lang w:val="ru-RU"/>
                        </w:rPr>
                        <w:t>0</w:t>
                      </w:r>
                      <w:r w:rsidRPr="00383DBC">
                        <w:rPr>
                          <w:sz w:val="16"/>
                          <w:szCs w:val="16"/>
                          <w:lang w:val="ru-RU"/>
                        </w:rPr>
                        <w:t>-0,9</w:t>
                      </w:r>
                      <w:r>
                        <w:rPr>
                          <w:sz w:val="16"/>
                          <w:szCs w:val="16"/>
                          <w:lang w:val="ru-RU"/>
                        </w:rPr>
                        <w:t>2</w:t>
                      </w:r>
                      <w:r w:rsidRPr="00383DBC">
                        <w:rPr>
                          <w:sz w:val="16"/>
                          <w:szCs w:val="16"/>
                          <w:lang w:val="ru-RU"/>
                        </w:rPr>
                        <w:t>); снижение риска: 2</w:t>
                      </w:r>
                      <w:r>
                        <w:rPr>
                          <w:sz w:val="16"/>
                          <w:szCs w:val="16"/>
                          <w:lang w:val="ru-RU"/>
                        </w:rPr>
                        <w:t>6</w:t>
                      </w:r>
                      <w:r w:rsidRPr="00383DBC">
                        <w:rPr>
                          <w:sz w:val="16"/>
                          <w:szCs w:val="16"/>
                          <w:lang w:val="ru-RU"/>
                        </w:rPr>
                        <w:t>%</w:t>
                      </w:r>
                    </w:p>
                  </w:txbxContent>
                </v:textbox>
              </v:rect>
            </w:pict>
          </mc:Fallback>
        </mc:AlternateContent>
      </w:r>
      <w:r w:rsidRPr="00383DBC">
        <w:rPr>
          <w:rFonts w:cs="Times New Roman"/>
          <w:noProof/>
          <w:sz w:val="24"/>
          <w:szCs w:val="24"/>
          <w:lang w:val="ru-RU" w:eastAsia="ru-RU"/>
        </w:rPr>
        <mc:AlternateContent>
          <mc:Choice Requires="wps">
            <w:drawing>
              <wp:anchor distT="0" distB="0" distL="114300" distR="114300" simplePos="0" relativeHeight="251663360" behindDoc="0" locked="0" layoutInCell="1" allowOverlap="1" wp14:anchorId="4E1371E5" wp14:editId="3D57DE9E">
                <wp:simplePos x="0" y="0"/>
                <wp:positionH relativeFrom="column">
                  <wp:posOffset>1066800</wp:posOffset>
                </wp:positionH>
                <wp:positionV relativeFrom="paragraph">
                  <wp:posOffset>1942465</wp:posOffset>
                </wp:positionV>
                <wp:extent cx="1828800" cy="457200"/>
                <wp:effectExtent l="0" t="0" r="3810" b="444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A2E02" w14:textId="77777777" w:rsidR="00FE7873" w:rsidRPr="00383DBC" w:rsidRDefault="00FE7873" w:rsidP="00383DBC">
                            <w:pPr>
                              <w:rPr>
                                <w:sz w:val="16"/>
                                <w:szCs w:val="16"/>
                                <w:lang w:val="ru-RU"/>
                              </w:rPr>
                            </w:pPr>
                            <w:r>
                              <w:rPr>
                                <w:sz w:val="16"/>
                                <w:szCs w:val="16"/>
                                <w:lang w:val="ru-RU"/>
                              </w:rPr>
                              <w:t>Соотношение</w:t>
                            </w:r>
                            <w:r w:rsidRPr="00383DBC">
                              <w:rPr>
                                <w:sz w:val="16"/>
                                <w:szCs w:val="16"/>
                                <w:lang w:val="ru-RU"/>
                              </w:rPr>
                              <w:t xml:space="preserve"> риска: 0,79, </w:t>
                            </w:r>
                            <w:r w:rsidRPr="002A3BF7">
                              <w:rPr>
                                <w:sz w:val="16"/>
                                <w:szCs w:val="16"/>
                              </w:rPr>
                              <w:t>p</w:t>
                            </w:r>
                            <w:r w:rsidRPr="00383DBC">
                              <w:rPr>
                                <w:sz w:val="16"/>
                                <w:szCs w:val="16"/>
                                <w:lang w:val="ru-RU"/>
                              </w:rPr>
                              <w:t>=0,0134; (95% ДИ: 0,65-0,95); снижение риска: 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1371E5" id="Прямоугольник 18" o:spid="_x0000_s1031" style="position:absolute;left:0;text-align:left;margin-left:84pt;margin-top:152.95pt;width:2in;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" stroked="f">
                <v:textbox>
                  <w:txbxContent>
                    <w:p w14:paraId="398A2E02" w14:textId="77777777" w:rsidR="00FE7873" w:rsidRPr="00383DBC" w:rsidRDefault="00FE7873" w:rsidP="00383DBC">
                      <w:pPr>
                        <w:rPr>
                          <w:sz w:val="16"/>
                          <w:szCs w:val="16"/>
                          <w:lang w:val="ru-RU"/>
                        </w:rPr>
                      </w:pPr>
                      <w:r>
                        <w:rPr>
                          <w:sz w:val="16"/>
                          <w:szCs w:val="16"/>
                          <w:lang w:val="ru-RU"/>
                        </w:rPr>
                        <w:t>Соотношение</w:t>
                      </w:r>
                      <w:r w:rsidRPr="00383DBC">
                        <w:rPr>
                          <w:sz w:val="16"/>
                          <w:szCs w:val="16"/>
                          <w:lang w:val="ru-RU"/>
                        </w:rPr>
                        <w:t xml:space="preserve"> риска: 0,79, </w:t>
                      </w:r>
                      <w:r w:rsidRPr="002A3BF7">
                        <w:rPr>
                          <w:sz w:val="16"/>
                          <w:szCs w:val="16"/>
                        </w:rPr>
                        <w:t>p</w:t>
                      </w:r>
                      <w:r w:rsidRPr="00383DBC">
                        <w:rPr>
                          <w:sz w:val="16"/>
                          <w:szCs w:val="16"/>
                          <w:lang w:val="ru-RU"/>
                        </w:rPr>
                        <w:t>=0,0134; (95% ДИ: 0,65-0,95); снижение риска: 21%</w:t>
                      </w:r>
                    </w:p>
                  </w:txbxContent>
                </v:textbox>
              </v:rect>
            </w:pict>
          </mc:Fallback>
        </mc:AlternateContent>
      </w:r>
      <w:r w:rsidRPr="00383DBC">
        <w:rPr>
          <w:rFonts w:cs="Times New Roman"/>
          <w:noProof/>
          <w:sz w:val="24"/>
          <w:szCs w:val="24"/>
          <w:lang w:val="ru-RU" w:eastAsia="ru-RU"/>
        </w:rPr>
        <mc:AlternateContent>
          <mc:Choice Requires="wps">
            <w:drawing>
              <wp:anchor distT="0" distB="0" distL="114300" distR="114300" simplePos="0" relativeHeight="251662336" behindDoc="0" locked="0" layoutInCell="1" allowOverlap="1" wp14:anchorId="5B0549B6" wp14:editId="0819556C">
                <wp:simplePos x="0" y="0"/>
                <wp:positionH relativeFrom="column">
                  <wp:posOffset>2895600</wp:posOffset>
                </wp:positionH>
                <wp:positionV relativeFrom="paragraph">
                  <wp:posOffset>456565</wp:posOffset>
                </wp:positionV>
                <wp:extent cx="533400" cy="1943100"/>
                <wp:effectExtent l="0" t="0" r="3810" b="444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1943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tblGrid>
                            <w:tr w:rsidR="00FE7873" w:rsidRPr="005818B4" w14:paraId="0CFDF8A0" w14:textId="77777777">
                              <w:trPr>
                                <w:cantSplit/>
                                <w:trHeight w:val="2695"/>
                              </w:trPr>
                              <w:tc>
                                <w:tcPr>
                                  <w:tcW w:w="708" w:type="dxa"/>
                                  <w:tcBorders>
                                    <w:top w:val="nil"/>
                                    <w:left w:val="nil"/>
                                    <w:bottom w:val="nil"/>
                                    <w:right w:val="nil"/>
                                  </w:tcBorders>
                                  <w:shd w:val="clear" w:color="auto" w:fill="auto"/>
                                  <w:textDirection w:val="btLr"/>
                                </w:tcPr>
                                <w:p w14:paraId="64AE479B" w14:textId="77777777" w:rsidR="00FE7873" w:rsidRPr="00383DBC" w:rsidRDefault="00FE7873">
                                  <w:pPr>
                                    <w:ind w:left="113" w:right="113"/>
                                    <w:jc w:val="center"/>
                                    <w:rPr>
                                      <w:lang w:val="ru-RU"/>
                                    </w:rPr>
                                  </w:pPr>
                                  <w:r>
                                    <w:rPr>
                                      <w:sz w:val="16"/>
                                      <w:szCs w:val="16"/>
                                      <w:lang w:val="ru-RU"/>
                                    </w:rPr>
                                    <w:t>Процент участников с 6-месячным подтвержденным прогрессированием инвалидности</w:t>
                                  </w:r>
                                </w:p>
                              </w:tc>
                            </w:tr>
                          </w:tbl>
                          <w:p w14:paraId="0637DA82" w14:textId="77777777" w:rsidR="00FE7873" w:rsidRPr="00383DBC" w:rsidRDefault="00FE7873" w:rsidP="00383DBC">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0549B6" id="Прямоугольник 17" o:spid="_x0000_s1032" style="position:absolute;left:0;text-align:left;margin-left:228pt;margin-top:35.95pt;width:42pt;height:1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tblGrid>
                      <w:tr w:rsidR="00FE7873" w:rsidRPr="005818B4" w14:paraId="0CFDF8A0" w14:textId="77777777">
                        <w:trPr>
                          <w:cantSplit/>
                          <w:trHeight w:val="2695"/>
                        </w:trPr>
                        <w:tc>
                          <w:tcPr>
                            <w:tcW w:w="708" w:type="dxa"/>
                            <w:tcBorders>
                              <w:top w:val="nil"/>
                              <w:left w:val="nil"/>
                              <w:bottom w:val="nil"/>
                              <w:right w:val="nil"/>
                            </w:tcBorders>
                            <w:shd w:val="clear" w:color="auto" w:fill="auto"/>
                            <w:textDirection w:val="btLr"/>
                          </w:tcPr>
                          <w:p w14:paraId="64AE479B" w14:textId="77777777" w:rsidR="00FE7873" w:rsidRPr="00383DBC" w:rsidRDefault="00FE7873">
                            <w:pPr>
                              <w:ind w:left="113" w:right="113"/>
                              <w:jc w:val="center"/>
                              <w:rPr>
                                <w:lang w:val="ru-RU"/>
                              </w:rPr>
                            </w:pPr>
                            <w:r>
                              <w:rPr>
                                <w:sz w:val="16"/>
                                <w:szCs w:val="16"/>
                                <w:lang w:val="ru-RU"/>
                              </w:rPr>
                              <w:t>Процент участников с 6-месячным подтвержденным прогрессированием инвалидности</w:t>
                            </w:r>
                          </w:p>
                        </w:tc>
                      </w:tr>
                    </w:tbl>
                    <w:p w14:paraId="0637DA82" w14:textId="77777777" w:rsidR="00FE7873" w:rsidRPr="00383DBC" w:rsidRDefault="00FE7873" w:rsidP="00383DBC">
                      <w:pPr>
                        <w:rPr>
                          <w:lang w:val="ru-RU"/>
                        </w:rPr>
                      </w:pPr>
                    </w:p>
                  </w:txbxContent>
                </v:textbox>
              </v:rect>
            </w:pict>
          </mc:Fallback>
        </mc:AlternateContent>
      </w:r>
      <w:r w:rsidRPr="00383DBC">
        <w:rPr>
          <w:rFonts w:cs="Times New Roman"/>
          <w:noProof/>
          <w:sz w:val="24"/>
          <w:szCs w:val="24"/>
          <w:lang w:val="ru-RU" w:eastAsia="ru-RU"/>
        </w:rPr>
        <mc:AlternateContent>
          <mc:Choice Requires="wps">
            <w:drawing>
              <wp:anchor distT="0" distB="0" distL="114300" distR="114300" simplePos="0" relativeHeight="251661312" behindDoc="0" locked="0" layoutInCell="1" allowOverlap="1" wp14:anchorId="74E9BE0E" wp14:editId="1A701F34">
                <wp:simplePos x="0" y="0"/>
                <wp:positionH relativeFrom="column">
                  <wp:posOffset>0</wp:posOffset>
                </wp:positionH>
                <wp:positionV relativeFrom="paragraph">
                  <wp:posOffset>456565</wp:posOffset>
                </wp:positionV>
                <wp:extent cx="533400" cy="1943100"/>
                <wp:effectExtent l="0" t="0" r="3810" b="444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1943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tblGrid>
                            <w:tr w:rsidR="00FE7873" w:rsidRPr="005818B4" w14:paraId="35BDD02E" w14:textId="77777777">
                              <w:trPr>
                                <w:cantSplit/>
                                <w:trHeight w:val="2695"/>
                              </w:trPr>
                              <w:tc>
                                <w:tcPr>
                                  <w:tcW w:w="708" w:type="dxa"/>
                                  <w:tcBorders>
                                    <w:top w:val="nil"/>
                                    <w:left w:val="nil"/>
                                    <w:bottom w:val="nil"/>
                                    <w:right w:val="nil"/>
                                  </w:tcBorders>
                                  <w:shd w:val="clear" w:color="auto" w:fill="auto"/>
                                  <w:textDirection w:val="btLr"/>
                                </w:tcPr>
                                <w:p w14:paraId="0324CC49" w14:textId="77777777" w:rsidR="00FE7873" w:rsidRPr="00383DBC" w:rsidRDefault="00FE7873">
                                  <w:pPr>
                                    <w:ind w:left="113" w:right="113"/>
                                    <w:jc w:val="center"/>
                                    <w:rPr>
                                      <w:lang w:val="ru-RU"/>
                                    </w:rPr>
                                  </w:pPr>
                                  <w:r>
                                    <w:rPr>
                                      <w:sz w:val="16"/>
                                      <w:szCs w:val="16"/>
                                      <w:lang w:val="ru-RU"/>
                                    </w:rPr>
                                    <w:t>Процент участников с 3-месячным подтвержденным прогрессированием инвалидности</w:t>
                                  </w:r>
                                </w:p>
                              </w:tc>
                            </w:tr>
                          </w:tbl>
                          <w:p w14:paraId="4DE84F60" w14:textId="77777777" w:rsidR="00FE7873" w:rsidRPr="00383DBC" w:rsidRDefault="00FE7873" w:rsidP="00383DBC">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E9BE0E" id="Прямоугольник 16" o:spid="_x0000_s1033" style="position:absolute;left:0;text-align:left;margin-left:0;margin-top:35.95pt;width:42pt;height:1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tblGrid>
                      <w:tr w:rsidR="00FE7873" w:rsidRPr="005818B4" w14:paraId="35BDD02E" w14:textId="77777777">
                        <w:trPr>
                          <w:cantSplit/>
                          <w:trHeight w:val="2695"/>
                        </w:trPr>
                        <w:tc>
                          <w:tcPr>
                            <w:tcW w:w="708" w:type="dxa"/>
                            <w:tcBorders>
                              <w:top w:val="nil"/>
                              <w:left w:val="nil"/>
                              <w:bottom w:val="nil"/>
                              <w:right w:val="nil"/>
                            </w:tcBorders>
                            <w:shd w:val="clear" w:color="auto" w:fill="auto"/>
                            <w:textDirection w:val="btLr"/>
                          </w:tcPr>
                          <w:p w14:paraId="0324CC49" w14:textId="77777777" w:rsidR="00FE7873" w:rsidRPr="00383DBC" w:rsidRDefault="00FE7873">
                            <w:pPr>
                              <w:ind w:left="113" w:right="113"/>
                              <w:jc w:val="center"/>
                              <w:rPr>
                                <w:lang w:val="ru-RU"/>
                              </w:rPr>
                            </w:pPr>
                            <w:r>
                              <w:rPr>
                                <w:sz w:val="16"/>
                                <w:szCs w:val="16"/>
                                <w:lang w:val="ru-RU"/>
                              </w:rPr>
                              <w:t>Процент участников с 3-месячным подтвержденным прогрессированием инвалидности</w:t>
                            </w:r>
                          </w:p>
                        </w:tc>
                      </w:tr>
                    </w:tbl>
                    <w:p w14:paraId="4DE84F60" w14:textId="77777777" w:rsidR="00FE7873" w:rsidRPr="00383DBC" w:rsidRDefault="00FE7873" w:rsidP="00383DBC">
                      <w:pPr>
                        <w:rPr>
                          <w:lang w:val="ru-RU"/>
                        </w:rPr>
                      </w:pPr>
                    </w:p>
                  </w:txbxContent>
                </v:textbox>
              </v:rect>
            </w:pict>
          </mc:Fallback>
        </mc:AlternateContent>
      </w:r>
      <w:r w:rsidRPr="00383DBC">
        <w:rPr>
          <w:rFonts w:cs="Times New Roman"/>
          <w:noProof/>
          <w:sz w:val="24"/>
          <w:szCs w:val="24"/>
          <w:lang w:val="ru-RU" w:eastAsia="ru-RU"/>
        </w:rPr>
        <w:drawing>
          <wp:inline distT="0" distB="0" distL="0" distR="0" wp14:anchorId="111C987E" wp14:editId="54DA6C05">
            <wp:extent cx="6002655" cy="288353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02655" cy="2883535"/>
                    </a:xfrm>
                    <a:prstGeom prst="rect">
                      <a:avLst/>
                    </a:prstGeom>
                    <a:noFill/>
                    <a:ln>
                      <a:noFill/>
                    </a:ln>
                  </pic:spPr>
                </pic:pic>
              </a:graphicData>
            </a:graphic>
          </wp:inline>
        </w:drawing>
      </w:r>
    </w:p>
    <w:p w14:paraId="0976B618" w14:textId="77777777" w:rsidR="00383DBC" w:rsidRPr="00383DBC" w:rsidRDefault="00383DBC" w:rsidP="00383DBC">
      <w:pPr>
        <w:jc w:val="both"/>
        <w:rPr>
          <w:rFonts w:cs="Times New Roman"/>
          <w:sz w:val="24"/>
          <w:szCs w:val="24"/>
          <w:lang w:val="ru-RU"/>
        </w:rPr>
      </w:pPr>
    </w:p>
    <w:tbl>
      <w:tblPr>
        <w:tblW w:w="0" w:type="auto"/>
        <w:tblLook w:val="01E0" w:firstRow="1" w:lastRow="1" w:firstColumn="1" w:lastColumn="1" w:noHBand="0" w:noVBand="0"/>
      </w:tblPr>
      <w:tblGrid>
        <w:gridCol w:w="2560"/>
        <w:gridCol w:w="2084"/>
        <w:gridCol w:w="2635"/>
        <w:gridCol w:w="2009"/>
      </w:tblGrid>
      <w:tr w:rsidR="00383DBC" w:rsidRPr="00383DBC" w14:paraId="56259341" w14:textId="77777777" w:rsidTr="00482FB1">
        <w:tc>
          <w:tcPr>
            <w:tcW w:w="5068" w:type="dxa"/>
            <w:gridSpan w:val="2"/>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7"/>
              <w:gridCol w:w="531"/>
              <w:gridCol w:w="452"/>
              <w:gridCol w:w="452"/>
              <w:gridCol w:w="452"/>
              <w:gridCol w:w="452"/>
              <w:gridCol w:w="452"/>
              <w:gridCol w:w="295"/>
              <w:gridCol w:w="295"/>
            </w:tblGrid>
            <w:tr w:rsidR="00383DBC" w:rsidRPr="005818B4" w14:paraId="3AC63036" w14:textId="77777777" w:rsidTr="00482FB1">
              <w:tc>
                <w:tcPr>
                  <w:tcW w:w="4548" w:type="dxa"/>
                  <w:gridSpan w:val="9"/>
                  <w:tcBorders>
                    <w:top w:val="single" w:sz="4" w:space="0" w:color="auto"/>
                    <w:left w:val="single" w:sz="4" w:space="0" w:color="auto"/>
                    <w:bottom w:val="single" w:sz="4" w:space="0" w:color="auto"/>
                    <w:right w:val="single" w:sz="4" w:space="0" w:color="auto"/>
                  </w:tcBorders>
                </w:tcPr>
                <w:p w14:paraId="2A347DAD" w14:textId="77777777" w:rsidR="00383DBC" w:rsidRPr="00482FB1" w:rsidRDefault="00383DBC" w:rsidP="00383DBC">
                  <w:pPr>
                    <w:rPr>
                      <w:rFonts w:eastAsia="MS MinNew Roman" w:cs="Times New Roman"/>
                      <w:b/>
                      <w:bCs/>
                      <w:szCs w:val="24"/>
                      <w:lang w:val="ru-RU"/>
                    </w:rPr>
                  </w:pPr>
                  <w:r w:rsidRPr="00482FB1">
                    <w:rPr>
                      <w:rFonts w:cs="Times New Roman"/>
                      <w:b/>
                      <w:bCs/>
                      <w:szCs w:val="24"/>
                      <w:lang w:val="ru-RU"/>
                    </w:rPr>
                    <w:t>Число пациентов, находящихся под риском</w:t>
                  </w:r>
                </w:p>
              </w:tc>
            </w:tr>
            <w:tr w:rsidR="00383DBC" w:rsidRPr="00482FB1" w14:paraId="5AE4DEE1" w14:textId="77777777" w:rsidTr="00482FB1">
              <w:tc>
                <w:tcPr>
                  <w:tcW w:w="1008" w:type="dxa"/>
                  <w:tcBorders>
                    <w:top w:val="single" w:sz="4" w:space="0" w:color="auto"/>
                    <w:left w:val="single" w:sz="4" w:space="0" w:color="auto"/>
                    <w:bottom w:val="single" w:sz="4" w:space="0" w:color="auto"/>
                    <w:right w:val="single" w:sz="4" w:space="0" w:color="auto"/>
                  </w:tcBorders>
                </w:tcPr>
                <w:p w14:paraId="603463B4" w14:textId="77777777" w:rsidR="00383DBC" w:rsidRPr="00482FB1" w:rsidRDefault="00383DBC" w:rsidP="00383DBC">
                  <w:pPr>
                    <w:rPr>
                      <w:rFonts w:eastAsia="MS MinNew Roman" w:cs="Times New Roman"/>
                      <w:b/>
                      <w:bCs/>
                      <w:szCs w:val="24"/>
                      <w:lang w:val="ru-RU"/>
                    </w:rPr>
                  </w:pPr>
                  <w:r w:rsidRPr="00482FB1">
                    <w:rPr>
                      <w:rFonts w:eastAsia="MS MinNew Roman" w:cs="Times New Roman"/>
                      <w:b/>
                      <w:bCs/>
                      <w:szCs w:val="24"/>
                      <w:lang w:val="ru-RU"/>
                    </w:rPr>
                    <w:t>Сипонимод</w:t>
                  </w:r>
                </w:p>
              </w:tc>
              <w:tc>
                <w:tcPr>
                  <w:tcW w:w="540" w:type="dxa"/>
                  <w:tcBorders>
                    <w:top w:val="single" w:sz="4" w:space="0" w:color="auto"/>
                    <w:left w:val="single" w:sz="4" w:space="0" w:color="auto"/>
                    <w:bottom w:val="single" w:sz="4" w:space="0" w:color="auto"/>
                    <w:right w:val="single" w:sz="4" w:space="0" w:color="auto"/>
                  </w:tcBorders>
                </w:tcPr>
                <w:p w14:paraId="54E1D34C"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1099</w:t>
                  </w:r>
                </w:p>
              </w:tc>
              <w:tc>
                <w:tcPr>
                  <w:tcW w:w="480" w:type="dxa"/>
                  <w:tcBorders>
                    <w:top w:val="single" w:sz="4" w:space="0" w:color="auto"/>
                    <w:left w:val="single" w:sz="4" w:space="0" w:color="auto"/>
                    <w:bottom w:val="single" w:sz="4" w:space="0" w:color="auto"/>
                    <w:right w:val="single" w:sz="4" w:space="0" w:color="auto"/>
                  </w:tcBorders>
                </w:tcPr>
                <w:p w14:paraId="7673DB74"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947</w:t>
                  </w:r>
                </w:p>
              </w:tc>
              <w:tc>
                <w:tcPr>
                  <w:tcW w:w="480" w:type="dxa"/>
                  <w:tcBorders>
                    <w:top w:val="single" w:sz="4" w:space="0" w:color="auto"/>
                    <w:left w:val="single" w:sz="4" w:space="0" w:color="auto"/>
                    <w:bottom w:val="single" w:sz="4" w:space="0" w:color="auto"/>
                    <w:right w:val="single" w:sz="4" w:space="0" w:color="auto"/>
                  </w:tcBorders>
                </w:tcPr>
                <w:p w14:paraId="55B6F0F8"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781</w:t>
                  </w:r>
                </w:p>
              </w:tc>
              <w:tc>
                <w:tcPr>
                  <w:tcW w:w="480" w:type="dxa"/>
                  <w:tcBorders>
                    <w:top w:val="single" w:sz="4" w:space="0" w:color="auto"/>
                    <w:left w:val="single" w:sz="4" w:space="0" w:color="auto"/>
                    <w:bottom w:val="single" w:sz="4" w:space="0" w:color="auto"/>
                    <w:right w:val="single" w:sz="4" w:space="0" w:color="auto"/>
                  </w:tcBorders>
                </w:tcPr>
                <w:p w14:paraId="66472F6F"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499</w:t>
                  </w:r>
                </w:p>
              </w:tc>
              <w:tc>
                <w:tcPr>
                  <w:tcW w:w="480" w:type="dxa"/>
                  <w:tcBorders>
                    <w:top w:val="single" w:sz="4" w:space="0" w:color="auto"/>
                    <w:left w:val="single" w:sz="4" w:space="0" w:color="auto"/>
                    <w:bottom w:val="single" w:sz="4" w:space="0" w:color="auto"/>
                    <w:right w:val="single" w:sz="4" w:space="0" w:color="auto"/>
                  </w:tcBorders>
                </w:tcPr>
                <w:p w14:paraId="53F3B141"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289</w:t>
                  </w:r>
                </w:p>
              </w:tc>
              <w:tc>
                <w:tcPr>
                  <w:tcW w:w="480" w:type="dxa"/>
                  <w:tcBorders>
                    <w:top w:val="single" w:sz="4" w:space="0" w:color="auto"/>
                    <w:left w:val="single" w:sz="4" w:space="0" w:color="auto"/>
                    <w:bottom w:val="single" w:sz="4" w:space="0" w:color="auto"/>
                    <w:right w:val="single" w:sz="4" w:space="0" w:color="auto"/>
                  </w:tcBorders>
                </w:tcPr>
                <w:p w14:paraId="46E3F516"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101</w:t>
                  </w:r>
                </w:p>
              </w:tc>
              <w:tc>
                <w:tcPr>
                  <w:tcW w:w="360" w:type="dxa"/>
                  <w:tcBorders>
                    <w:top w:val="single" w:sz="4" w:space="0" w:color="auto"/>
                    <w:left w:val="single" w:sz="4" w:space="0" w:color="auto"/>
                    <w:bottom w:val="single" w:sz="4" w:space="0" w:color="auto"/>
                    <w:right w:val="single" w:sz="4" w:space="0" w:color="auto"/>
                  </w:tcBorders>
                </w:tcPr>
                <w:p w14:paraId="323E2B1A"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4</w:t>
                  </w:r>
                </w:p>
              </w:tc>
              <w:tc>
                <w:tcPr>
                  <w:tcW w:w="240" w:type="dxa"/>
                  <w:tcBorders>
                    <w:top w:val="single" w:sz="4" w:space="0" w:color="auto"/>
                    <w:left w:val="single" w:sz="4" w:space="0" w:color="auto"/>
                    <w:bottom w:val="single" w:sz="4" w:space="0" w:color="auto"/>
                    <w:right w:val="single" w:sz="4" w:space="0" w:color="auto"/>
                  </w:tcBorders>
                </w:tcPr>
                <w:p w14:paraId="160863AF"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0</w:t>
                  </w:r>
                </w:p>
              </w:tc>
            </w:tr>
            <w:tr w:rsidR="00383DBC" w:rsidRPr="00482FB1" w14:paraId="0ADE2DC0" w14:textId="77777777" w:rsidTr="00482FB1">
              <w:tc>
                <w:tcPr>
                  <w:tcW w:w="1008" w:type="dxa"/>
                  <w:tcBorders>
                    <w:top w:val="single" w:sz="4" w:space="0" w:color="auto"/>
                    <w:left w:val="single" w:sz="4" w:space="0" w:color="auto"/>
                    <w:bottom w:val="single" w:sz="4" w:space="0" w:color="auto"/>
                    <w:right w:val="single" w:sz="4" w:space="0" w:color="auto"/>
                  </w:tcBorders>
                </w:tcPr>
                <w:p w14:paraId="19474152" w14:textId="77777777" w:rsidR="00383DBC" w:rsidRPr="00482FB1" w:rsidRDefault="00383DBC" w:rsidP="00383DBC">
                  <w:pPr>
                    <w:rPr>
                      <w:rFonts w:eastAsia="MS MinNew Roman" w:cs="Times New Roman"/>
                      <w:b/>
                      <w:bCs/>
                      <w:szCs w:val="24"/>
                      <w:lang w:val="ru-RU"/>
                    </w:rPr>
                  </w:pPr>
                  <w:r w:rsidRPr="00482FB1">
                    <w:rPr>
                      <w:rFonts w:eastAsia="MS MinNew Roman" w:cs="Times New Roman"/>
                      <w:b/>
                      <w:bCs/>
                      <w:szCs w:val="24"/>
                      <w:lang w:val="ru-RU"/>
                    </w:rPr>
                    <w:t>Плацебо</w:t>
                  </w:r>
                </w:p>
              </w:tc>
              <w:tc>
                <w:tcPr>
                  <w:tcW w:w="540" w:type="dxa"/>
                  <w:tcBorders>
                    <w:top w:val="single" w:sz="4" w:space="0" w:color="auto"/>
                    <w:left w:val="single" w:sz="4" w:space="0" w:color="auto"/>
                    <w:bottom w:val="single" w:sz="4" w:space="0" w:color="auto"/>
                    <w:right w:val="single" w:sz="4" w:space="0" w:color="auto"/>
                  </w:tcBorders>
                </w:tcPr>
                <w:p w14:paraId="5DA1A9A0"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546</w:t>
                  </w:r>
                </w:p>
              </w:tc>
              <w:tc>
                <w:tcPr>
                  <w:tcW w:w="480" w:type="dxa"/>
                  <w:tcBorders>
                    <w:top w:val="single" w:sz="4" w:space="0" w:color="auto"/>
                    <w:left w:val="single" w:sz="4" w:space="0" w:color="auto"/>
                    <w:bottom w:val="single" w:sz="4" w:space="0" w:color="auto"/>
                    <w:right w:val="single" w:sz="4" w:space="0" w:color="auto"/>
                  </w:tcBorders>
                </w:tcPr>
                <w:p w14:paraId="1DF539DE"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463</w:t>
                  </w:r>
                </w:p>
              </w:tc>
              <w:tc>
                <w:tcPr>
                  <w:tcW w:w="480" w:type="dxa"/>
                  <w:tcBorders>
                    <w:top w:val="single" w:sz="4" w:space="0" w:color="auto"/>
                    <w:left w:val="single" w:sz="4" w:space="0" w:color="auto"/>
                    <w:bottom w:val="single" w:sz="4" w:space="0" w:color="auto"/>
                    <w:right w:val="single" w:sz="4" w:space="0" w:color="auto"/>
                  </w:tcBorders>
                </w:tcPr>
                <w:p w14:paraId="63B9ABD9"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352</w:t>
                  </w:r>
                </w:p>
              </w:tc>
              <w:tc>
                <w:tcPr>
                  <w:tcW w:w="480" w:type="dxa"/>
                  <w:tcBorders>
                    <w:top w:val="single" w:sz="4" w:space="0" w:color="auto"/>
                    <w:left w:val="single" w:sz="4" w:space="0" w:color="auto"/>
                    <w:bottom w:val="single" w:sz="4" w:space="0" w:color="auto"/>
                    <w:right w:val="single" w:sz="4" w:space="0" w:color="auto"/>
                  </w:tcBorders>
                </w:tcPr>
                <w:p w14:paraId="6502987E"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223</w:t>
                  </w:r>
                </w:p>
              </w:tc>
              <w:tc>
                <w:tcPr>
                  <w:tcW w:w="480" w:type="dxa"/>
                  <w:tcBorders>
                    <w:top w:val="single" w:sz="4" w:space="0" w:color="auto"/>
                    <w:left w:val="single" w:sz="4" w:space="0" w:color="auto"/>
                    <w:bottom w:val="single" w:sz="4" w:space="0" w:color="auto"/>
                    <w:right w:val="single" w:sz="4" w:space="0" w:color="auto"/>
                  </w:tcBorders>
                </w:tcPr>
                <w:p w14:paraId="2FA112DC"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124</w:t>
                  </w:r>
                </w:p>
              </w:tc>
              <w:tc>
                <w:tcPr>
                  <w:tcW w:w="480" w:type="dxa"/>
                  <w:tcBorders>
                    <w:top w:val="single" w:sz="4" w:space="0" w:color="auto"/>
                    <w:left w:val="single" w:sz="4" w:space="0" w:color="auto"/>
                    <w:bottom w:val="single" w:sz="4" w:space="0" w:color="auto"/>
                    <w:right w:val="single" w:sz="4" w:space="0" w:color="auto"/>
                  </w:tcBorders>
                </w:tcPr>
                <w:p w14:paraId="515D49C7"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35</w:t>
                  </w:r>
                </w:p>
              </w:tc>
              <w:tc>
                <w:tcPr>
                  <w:tcW w:w="360" w:type="dxa"/>
                  <w:tcBorders>
                    <w:top w:val="single" w:sz="4" w:space="0" w:color="auto"/>
                    <w:left w:val="single" w:sz="4" w:space="0" w:color="auto"/>
                    <w:bottom w:val="single" w:sz="4" w:space="0" w:color="auto"/>
                    <w:right w:val="single" w:sz="4" w:space="0" w:color="auto"/>
                  </w:tcBorders>
                </w:tcPr>
                <w:p w14:paraId="02E4388E"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0</w:t>
                  </w:r>
                </w:p>
              </w:tc>
              <w:tc>
                <w:tcPr>
                  <w:tcW w:w="240" w:type="dxa"/>
                  <w:tcBorders>
                    <w:top w:val="single" w:sz="4" w:space="0" w:color="auto"/>
                    <w:left w:val="single" w:sz="4" w:space="0" w:color="auto"/>
                    <w:bottom w:val="single" w:sz="4" w:space="0" w:color="auto"/>
                    <w:right w:val="single" w:sz="4" w:space="0" w:color="auto"/>
                  </w:tcBorders>
                </w:tcPr>
                <w:p w14:paraId="085A4A39"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0</w:t>
                  </w:r>
                </w:p>
              </w:tc>
            </w:tr>
          </w:tbl>
          <w:p w14:paraId="088DDC56" w14:textId="77777777" w:rsidR="00383DBC" w:rsidRPr="00383DBC" w:rsidRDefault="00383DBC" w:rsidP="00383DBC">
            <w:pPr>
              <w:jc w:val="both"/>
              <w:rPr>
                <w:rFonts w:cs="Times New Roman"/>
                <w:sz w:val="24"/>
                <w:szCs w:val="24"/>
                <w:lang w:val="ru-RU"/>
              </w:rPr>
            </w:pPr>
          </w:p>
        </w:tc>
        <w:tc>
          <w:tcPr>
            <w:tcW w:w="5069" w:type="dxa"/>
            <w:gridSpan w:val="2"/>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7"/>
              <w:gridCol w:w="531"/>
              <w:gridCol w:w="452"/>
              <w:gridCol w:w="452"/>
              <w:gridCol w:w="452"/>
              <w:gridCol w:w="452"/>
              <w:gridCol w:w="452"/>
              <w:gridCol w:w="295"/>
              <w:gridCol w:w="295"/>
            </w:tblGrid>
            <w:tr w:rsidR="00383DBC" w:rsidRPr="005818B4" w14:paraId="5602786A" w14:textId="77777777" w:rsidTr="00482FB1">
              <w:tc>
                <w:tcPr>
                  <w:tcW w:w="4548" w:type="dxa"/>
                  <w:gridSpan w:val="9"/>
                  <w:tcBorders>
                    <w:top w:val="single" w:sz="4" w:space="0" w:color="auto"/>
                    <w:left w:val="single" w:sz="4" w:space="0" w:color="auto"/>
                    <w:bottom w:val="single" w:sz="4" w:space="0" w:color="auto"/>
                    <w:right w:val="single" w:sz="4" w:space="0" w:color="auto"/>
                  </w:tcBorders>
                </w:tcPr>
                <w:p w14:paraId="454A7F4D" w14:textId="77777777" w:rsidR="00383DBC" w:rsidRPr="00482FB1" w:rsidRDefault="00383DBC" w:rsidP="00383DBC">
                  <w:pPr>
                    <w:rPr>
                      <w:rFonts w:eastAsia="MS MinNew Roman" w:cs="Times New Roman"/>
                      <w:b/>
                      <w:bCs/>
                      <w:szCs w:val="24"/>
                      <w:lang w:val="ru-RU"/>
                    </w:rPr>
                  </w:pPr>
                  <w:r w:rsidRPr="00482FB1">
                    <w:rPr>
                      <w:rFonts w:cs="Times New Roman"/>
                      <w:b/>
                      <w:bCs/>
                      <w:szCs w:val="24"/>
                      <w:lang w:val="ru-RU"/>
                    </w:rPr>
                    <w:t>Число пациентов, находящихся под риском</w:t>
                  </w:r>
                </w:p>
              </w:tc>
            </w:tr>
            <w:tr w:rsidR="00383DBC" w:rsidRPr="00482FB1" w14:paraId="5C486D2A" w14:textId="77777777" w:rsidTr="00482FB1">
              <w:tc>
                <w:tcPr>
                  <w:tcW w:w="1008" w:type="dxa"/>
                  <w:tcBorders>
                    <w:top w:val="single" w:sz="4" w:space="0" w:color="auto"/>
                    <w:left w:val="single" w:sz="4" w:space="0" w:color="auto"/>
                    <w:bottom w:val="single" w:sz="4" w:space="0" w:color="auto"/>
                    <w:right w:val="single" w:sz="4" w:space="0" w:color="auto"/>
                  </w:tcBorders>
                </w:tcPr>
                <w:p w14:paraId="37D2680E" w14:textId="77777777" w:rsidR="00383DBC" w:rsidRPr="00482FB1" w:rsidRDefault="00383DBC" w:rsidP="00383DBC">
                  <w:pPr>
                    <w:rPr>
                      <w:rFonts w:eastAsia="MS MinNew Roman" w:cs="Times New Roman"/>
                      <w:b/>
                      <w:bCs/>
                      <w:szCs w:val="24"/>
                      <w:lang w:val="ru-RU"/>
                    </w:rPr>
                  </w:pPr>
                  <w:r w:rsidRPr="00482FB1">
                    <w:rPr>
                      <w:rFonts w:eastAsia="MS MinNew Roman" w:cs="Times New Roman"/>
                      <w:b/>
                      <w:bCs/>
                      <w:szCs w:val="24"/>
                      <w:lang w:val="ru-RU"/>
                    </w:rPr>
                    <w:t>Сипонимод</w:t>
                  </w:r>
                </w:p>
              </w:tc>
              <w:tc>
                <w:tcPr>
                  <w:tcW w:w="540" w:type="dxa"/>
                  <w:tcBorders>
                    <w:top w:val="single" w:sz="4" w:space="0" w:color="auto"/>
                    <w:left w:val="single" w:sz="4" w:space="0" w:color="auto"/>
                    <w:bottom w:val="single" w:sz="4" w:space="0" w:color="auto"/>
                    <w:right w:val="single" w:sz="4" w:space="0" w:color="auto"/>
                  </w:tcBorders>
                </w:tcPr>
                <w:p w14:paraId="1DEEA9FE"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1099</w:t>
                  </w:r>
                </w:p>
              </w:tc>
              <w:tc>
                <w:tcPr>
                  <w:tcW w:w="480" w:type="dxa"/>
                  <w:tcBorders>
                    <w:top w:val="single" w:sz="4" w:space="0" w:color="auto"/>
                    <w:left w:val="single" w:sz="4" w:space="0" w:color="auto"/>
                    <w:bottom w:val="single" w:sz="4" w:space="0" w:color="auto"/>
                    <w:right w:val="single" w:sz="4" w:space="0" w:color="auto"/>
                  </w:tcBorders>
                </w:tcPr>
                <w:p w14:paraId="67FC44FF"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960</w:t>
                  </w:r>
                </w:p>
              </w:tc>
              <w:tc>
                <w:tcPr>
                  <w:tcW w:w="480" w:type="dxa"/>
                  <w:tcBorders>
                    <w:top w:val="single" w:sz="4" w:space="0" w:color="auto"/>
                    <w:left w:val="single" w:sz="4" w:space="0" w:color="auto"/>
                    <w:bottom w:val="single" w:sz="4" w:space="0" w:color="auto"/>
                    <w:right w:val="single" w:sz="4" w:space="0" w:color="auto"/>
                  </w:tcBorders>
                </w:tcPr>
                <w:p w14:paraId="53EFCEAA"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811</w:t>
                  </w:r>
                </w:p>
              </w:tc>
              <w:tc>
                <w:tcPr>
                  <w:tcW w:w="480" w:type="dxa"/>
                  <w:tcBorders>
                    <w:top w:val="single" w:sz="4" w:space="0" w:color="auto"/>
                    <w:left w:val="single" w:sz="4" w:space="0" w:color="auto"/>
                    <w:bottom w:val="single" w:sz="4" w:space="0" w:color="auto"/>
                    <w:right w:val="single" w:sz="4" w:space="0" w:color="auto"/>
                  </w:tcBorders>
                </w:tcPr>
                <w:p w14:paraId="31D83C68"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525</w:t>
                  </w:r>
                </w:p>
              </w:tc>
              <w:tc>
                <w:tcPr>
                  <w:tcW w:w="480" w:type="dxa"/>
                  <w:tcBorders>
                    <w:top w:val="single" w:sz="4" w:space="0" w:color="auto"/>
                    <w:left w:val="single" w:sz="4" w:space="0" w:color="auto"/>
                    <w:bottom w:val="single" w:sz="4" w:space="0" w:color="auto"/>
                    <w:right w:val="single" w:sz="4" w:space="0" w:color="auto"/>
                  </w:tcBorders>
                </w:tcPr>
                <w:p w14:paraId="4F9223CB"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306</w:t>
                  </w:r>
                </w:p>
              </w:tc>
              <w:tc>
                <w:tcPr>
                  <w:tcW w:w="480" w:type="dxa"/>
                  <w:tcBorders>
                    <w:top w:val="single" w:sz="4" w:space="0" w:color="auto"/>
                    <w:left w:val="single" w:sz="4" w:space="0" w:color="auto"/>
                    <w:bottom w:val="single" w:sz="4" w:space="0" w:color="auto"/>
                    <w:right w:val="single" w:sz="4" w:space="0" w:color="auto"/>
                  </w:tcBorders>
                </w:tcPr>
                <w:p w14:paraId="3473FD8F"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106</w:t>
                  </w:r>
                </w:p>
              </w:tc>
              <w:tc>
                <w:tcPr>
                  <w:tcW w:w="360" w:type="dxa"/>
                  <w:tcBorders>
                    <w:top w:val="single" w:sz="4" w:space="0" w:color="auto"/>
                    <w:left w:val="single" w:sz="4" w:space="0" w:color="auto"/>
                    <w:bottom w:val="single" w:sz="4" w:space="0" w:color="auto"/>
                    <w:right w:val="single" w:sz="4" w:space="0" w:color="auto"/>
                  </w:tcBorders>
                </w:tcPr>
                <w:p w14:paraId="60D3367B"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5</w:t>
                  </w:r>
                </w:p>
              </w:tc>
              <w:tc>
                <w:tcPr>
                  <w:tcW w:w="240" w:type="dxa"/>
                  <w:tcBorders>
                    <w:top w:val="single" w:sz="4" w:space="0" w:color="auto"/>
                    <w:left w:val="single" w:sz="4" w:space="0" w:color="auto"/>
                    <w:bottom w:val="single" w:sz="4" w:space="0" w:color="auto"/>
                    <w:right w:val="single" w:sz="4" w:space="0" w:color="auto"/>
                  </w:tcBorders>
                </w:tcPr>
                <w:p w14:paraId="21DDFD3A"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0</w:t>
                  </w:r>
                </w:p>
              </w:tc>
            </w:tr>
            <w:tr w:rsidR="00383DBC" w:rsidRPr="00482FB1" w14:paraId="18F8060E" w14:textId="77777777" w:rsidTr="00482FB1">
              <w:tc>
                <w:tcPr>
                  <w:tcW w:w="1008" w:type="dxa"/>
                  <w:tcBorders>
                    <w:top w:val="single" w:sz="4" w:space="0" w:color="auto"/>
                    <w:left w:val="single" w:sz="4" w:space="0" w:color="auto"/>
                    <w:bottom w:val="single" w:sz="4" w:space="0" w:color="auto"/>
                    <w:right w:val="single" w:sz="4" w:space="0" w:color="auto"/>
                  </w:tcBorders>
                </w:tcPr>
                <w:p w14:paraId="6190CEF4" w14:textId="77777777" w:rsidR="00383DBC" w:rsidRPr="00482FB1" w:rsidRDefault="00383DBC" w:rsidP="00383DBC">
                  <w:pPr>
                    <w:rPr>
                      <w:rFonts w:eastAsia="MS MinNew Roman" w:cs="Times New Roman"/>
                      <w:b/>
                      <w:bCs/>
                      <w:szCs w:val="24"/>
                      <w:lang w:val="ru-RU"/>
                    </w:rPr>
                  </w:pPr>
                  <w:r w:rsidRPr="00482FB1">
                    <w:rPr>
                      <w:rFonts w:eastAsia="MS MinNew Roman" w:cs="Times New Roman"/>
                      <w:b/>
                      <w:bCs/>
                      <w:szCs w:val="24"/>
                      <w:lang w:val="ru-RU"/>
                    </w:rPr>
                    <w:t>Плацебо</w:t>
                  </w:r>
                </w:p>
              </w:tc>
              <w:tc>
                <w:tcPr>
                  <w:tcW w:w="540" w:type="dxa"/>
                  <w:tcBorders>
                    <w:top w:val="single" w:sz="4" w:space="0" w:color="auto"/>
                    <w:left w:val="single" w:sz="4" w:space="0" w:color="auto"/>
                    <w:bottom w:val="single" w:sz="4" w:space="0" w:color="auto"/>
                    <w:right w:val="single" w:sz="4" w:space="0" w:color="auto"/>
                  </w:tcBorders>
                </w:tcPr>
                <w:p w14:paraId="0B6059A9"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546</w:t>
                  </w:r>
                </w:p>
              </w:tc>
              <w:tc>
                <w:tcPr>
                  <w:tcW w:w="480" w:type="dxa"/>
                  <w:tcBorders>
                    <w:top w:val="single" w:sz="4" w:space="0" w:color="auto"/>
                    <w:left w:val="single" w:sz="4" w:space="0" w:color="auto"/>
                    <w:bottom w:val="single" w:sz="4" w:space="0" w:color="auto"/>
                    <w:right w:val="single" w:sz="4" w:space="0" w:color="auto"/>
                  </w:tcBorders>
                </w:tcPr>
                <w:p w14:paraId="0A5C54E8"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473</w:t>
                  </w:r>
                </w:p>
              </w:tc>
              <w:tc>
                <w:tcPr>
                  <w:tcW w:w="480" w:type="dxa"/>
                  <w:tcBorders>
                    <w:top w:val="single" w:sz="4" w:space="0" w:color="auto"/>
                    <w:left w:val="single" w:sz="4" w:space="0" w:color="auto"/>
                    <w:bottom w:val="single" w:sz="4" w:space="0" w:color="auto"/>
                    <w:right w:val="single" w:sz="4" w:space="0" w:color="auto"/>
                  </w:tcBorders>
                </w:tcPr>
                <w:p w14:paraId="1331F7B7"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361</w:t>
                  </w:r>
                </w:p>
              </w:tc>
              <w:tc>
                <w:tcPr>
                  <w:tcW w:w="480" w:type="dxa"/>
                  <w:tcBorders>
                    <w:top w:val="single" w:sz="4" w:space="0" w:color="auto"/>
                    <w:left w:val="single" w:sz="4" w:space="0" w:color="auto"/>
                    <w:bottom w:val="single" w:sz="4" w:space="0" w:color="auto"/>
                    <w:right w:val="single" w:sz="4" w:space="0" w:color="auto"/>
                  </w:tcBorders>
                </w:tcPr>
                <w:p w14:paraId="7EF8DA21"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230</w:t>
                  </w:r>
                </w:p>
              </w:tc>
              <w:tc>
                <w:tcPr>
                  <w:tcW w:w="480" w:type="dxa"/>
                  <w:tcBorders>
                    <w:top w:val="single" w:sz="4" w:space="0" w:color="auto"/>
                    <w:left w:val="single" w:sz="4" w:space="0" w:color="auto"/>
                    <w:bottom w:val="single" w:sz="4" w:space="0" w:color="auto"/>
                    <w:right w:val="single" w:sz="4" w:space="0" w:color="auto"/>
                  </w:tcBorders>
                </w:tcPr>
                <w:p w14:paraId="2BD51C1A"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128</w:t>
                  </w:r>
                </w:p>
              </w:tc>
              <w:tc>
                <w:tcPr>
                  <w:tcW w:w="480" w:type="dxa"/>
                  <w:tcBorders>
                    <w:top w:val="single" w:sz="4" w:space="0" w:color="auto"/>
                    <w:left w:val="single" w:sz="4" w:space="0" w:color="auto"/>
                    <w:bottom w:val="single" w:sz="4" w:space="0" w:color="auto"/>
                    <w:right w:val="single" w:sz="4" w:space="0" w:color="auto"/>
                  </w:tcBorders>
                </w:tcPr>
                <w:p w14:paraId="29A3CB84"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37</w:t>
                  </w:r>
                </w:p>
              </w:tc>
              <w:tc>
                <w:tcPr>
                  <w:tcW w:w="360" w:type="dxa"/>
                  <w:tcBorders>
                    <w:top w:val="single" w:sz="4" w:space="0" w:color="auto"/>
                    <w:left w:val="single" w:sz="4" w:space="0" w:color="auto"/>
                    <w:bottom w:val="single" w:sz="4" w:space="0" w:color="auto"/>
                    <w:right w:val="single" w:sz="4" w:space="0" w:color="auto"/>
                  </w:tcBorders>
                </w:tcPr>
                <w:p w14:paraId="0BC35807"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1</w:t>
                  </w:r>
                </w:p>
              </w:tc>
              <w:tc>
                <w:tcPr>
                  <w:tcW w:w="240" w:type="dxa"/>
                  <w:tcBorders>
                    <w:top w:val="single" w:sz="4" w:space="0" w:color="auto"/>
                    <w:left w:val="single" w:sz="4" w:space="0" w:color="auto"/>
                    <w:bottom w:val="single" w:sz="4" w:space="0" w:color="auto"/>
                    <w:right w:val="single" w:sz="4" w:space="0" w:color="auto"/>
                  </w:tcBorders>
                </w:tcPr>
                <w:p w14:paraId="6014CC8C" w14:textId="77777777" w:rsidR="00383DBC" w:rsidRPr="00482FB1" w:rsidRDefault="00383DBC" w:rsidP="00383DBC">
                  <w:pPr>
                    <w:rPr>
                      <w:rFonts w:eastAsia="MS MinNew Roman" w:cs="Times New Roman"/>
                      <w:szCs w:val="24"/>
                      <w:lang w:val="ru-RU"/>
                    </w:rPr>
                  </w:pPr>
                  <w:r w:rsidRPr="00482FB1">
                    <w:rPr>
                      <w:rFonts w:eastAsia="MS MinNew Roman" w:cs="Times New Roman"/>
                      <w:szCs w:val="24"/>
                      <w:lang w:val="ru-RU"/>
                    </w:rPr>
                    <w:t>0</w:t>
                  </w:r>
                </w:p>
              </w:tc>
            </w:tr>
          </w:tbl>
          <w:p w14:paraId="7E0D0FD6" w14:textId="77777777" w:rsidR="00383DBC" w:rsidRPr="00383DBC" w:rsidRDefault="00383DBC" w:rsidP="00383DBC">
            <w:pPr>
              <w:jc w:val="both"/>
              <w:rPr>
                <w:rFonts w:cs="Times New Roman"/>
                <w:sz w:val="24"/>
                <w:szCs w:val="24"/>
                <w:lang w:val="ru-RU"/>
              </w:rPr>
            </w:pPr>
          </w:p>
        </w:tc>
      </w:tr>
      <w:tr w:rsidR="00383DBC" w:rsidRPr="00383DBC" w14:paraId="68502EB1" w14:textId="77777777" w:rsidTr="00482FB1">
        <w:tc>
          <w:tcPr>
            <w:tcW w:w="2534" w:type="dxa"/>
            <w:shd w:val="clear" w:color="auto" w:fill="auto"/>
          </w:tcPr>
          <w:p w14:paraId="7A8F1108" w14:textId="68DB9E36" w:rsidR="00383DBC" w:rsidRPr="00383DBC" w:rsidRDefault="00383DBC" w:rsidP="00383DBC">
            <w:pPr>
              <w:jc w:val="right"/>
              <w:rPr>
                <w:rFonts w:cs="Times New Roman"/>
                <w:b/>
                <w:bCs/>
                <w:sz w:val="24"/>
                <w:szCs w:val="24"/>
                <w:lang w:val="ru-RU"/>
              </w:rPr>
            </w:pPr>
            <w:r w:rsidRPr="00383DBC">
              <w:rPr>
                <w:rFonts w:cs="Times New Roman"/>
                <w:b/>
                <w:bCs/>
                <w:noProof/>
                <w:sz w:val="24"/>
                <w:szCs w:val="24"/>
                <w:lang w:val="ru-RU" w:eastAsia="ru-RU"/>
              </w:rPr>
              <w:drawing>
                <wp:inline distT="0" distB="0" distL="0" distR="0" wp14:anchorId="1112E155" wp14:editId="08D184AD">
                  <wp:extent cx="639445" cy="140335"/>
                  <wp:effectExtent l="0" t="0" r="825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9445" cy="140335"/>
                          </a:xfrm>
                          <a:prstGeom prst="rect">
                            <a:avLst/>
                          </a:prstGeom>
                          <a:noFill/>
                          <a:ln>
                            <a:noFill/>
                          </a:ln>
                        </pic:spPr>
                      </pic:pic>
                    </a:graphicData>
                  </a:graphic>
                </wp:inline>
              </w:drawing>
            </w:r>
          </w:p>
        </w:tc>
        <w:tc>
          <w:tcPr>
            <w:tcW w:w="2534" w:type="dxa"/>
            <w:shd w:val="clear" w:color="auto" w:fill="auto"/>
          </w:tcPr>
          <w:p w14:paraId="5D8D59BD" w14:textId="77777777" w:rsidR="00383DBC" w:rsidRPr="00383DBC" w:rsidRDefault="00383DBC" w:rsidP="00383DBC">
            <w:pPr>
              <w:rPr>
                <w:rFonts w:cs="Times New Roman"/>
                <w:b/>
                <w:bCs/>
                <w:sz w:val="24"/>
                <w:szCs w:val="24"/>
                <w:lang w:val="ru-RU"/>
              </w:rPr>
            </w:pPr>
            <w:r w:rsidRPr="00383DBC">
              <w:rPr>
                <w:rFonts w:cs="Times New Roman"/>
                <w:b/>
                <w:bCs/>
                <w:sz w:val="24"/>
                <w:szCs w:val="24"/>
                <w:lang w:val="ru-RU"/>
              </w:rPr>
              <w:t>Сипонимод (N=1099)</w:t>
            </w:r>
          </w:p>
        </w:tc>
        <w:tc>
          <w:tcPr>
            <w:tcW w:w="2534" w:type="dxa"/>
            <w:shd w:val="clear" w:color="auto" w:fill="auto"/>
          </w:tcPr>
          <w:p w14:paraId="12B88EFD" w14:textId="1416AB6E" w:rsidR="00383DBC" w:rsidRPr="00383DBC" w:rsidRDefault="00383DBC" w:rsidP="00383DBC">
            <w:pPr>
              <w:jc w:val="right"/>
              <w:rPr>
                <w:rFonts w:cs="Times New Roman"/>
                <w:b/>
                <w:bCs/>
                <w:sz w:val="24"/>
                <w:szCs w:val="24"/>
                <w:lang w:val="ru-RU"/>
              </w:rPr>
            </w:pPr>
            <w:r w:rsidRPr="00383DBC">
              <w:rPr>
                <w:rFonts w:cs="Times New Roman"/>
                <w:b/>
                <w:bCs/>
                <w:noProof/>
                <w:sz w:val="24"/>
                <w:szCs w:val="24"/>
                <w:lang w:val="ru-RU" w:eastAsia="ru-RU"/>
              </w:rPr>
              <w:drawing>
                <wp:inline distT="0" distB="0" distL="0" distR="0" wp14:anchorId="1C5B3F44" wp14:editId="7148E218">
                  <wp:extent cx="628015" cy="123190"/>
                  <wp:effectExtent l="0" t="0" r="63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8015" cy="123190"/>
                          </a:xfrm>
                          <a:prstGeom prst="rect">
                            <a:avLst/>
                          </a:prstGeom>
                          <a:noFill/>
                          <a:ln>
                            <a:noFill/>
                          </a:ln>
                        </pic:spPr>
                      </pic:pic>
                    </a:graphicData>
                  </a:graphic>
                </wp:inline>
              </w:drawing>
            </w:r>
          </w:p>
        </w:tc>
        <w:tc>
          <w:tcPr>
            <w:tcW w:w="2535" w:type="dxa"/>
            <w:shd w:val="clear" w:color="auto" w:fill="auto"/>
          </w:tcPr>
          <w:p w14:paraId="4D5245E5" w14:textId="77777777" w:rsidR="00383DBC" w:rsidRPr="00383DBC" w:rsidRDefault="00383DBC" w:rsidP="00383DBC">
            <w:pPr>
              <w:rPr>
                <w:rFonts w:cs="Times New Roman"/>
                <w:b/>
                <w:bCs/>
                <w:sz w:val="24"/>
                <w:szCs w:val="24"/>
                <w:lang w:val="ru-RU"/>
              </w:rPr>
            </w:pPr>
            <w:r w:rsidRPr="00383DBC">
              <w:rPr>
                <w:rFonts w:cs="Times New Roman"/>
                <w:b/>
                <w:bCs/>
                <w:sz w:val="24"/>
                <w:szCs w:val="24"/>
                <w:lang w:val="ru-RU"/>
              </w:rPr>
              <w:t>Плацебо (N=546)</w:t>
            </w:r>
          </w:p>
        </w:tc>
      </w:tr>
    </w:tbl>
    <w:p w14:paraId="671C2799" w14:textId="77777777" w:rsidR="00383DBC" w:rsidRPr="00383DBC" w:rsidRDefault="00383DBC" w:rsidP="00383DBC">
      <w:pPr>
        <w:jc w:val="both"/>
        <w:rPr>
          <w:rFonts w:cs="Times New Roman"/>
          <w:sz w:val="24"/>
          <w:szCs w:val="24"/>
          <w:lang w:val="ru-RU"/>
        </w:rPr>
      </w:pPr>
    </w:p>
    <w:p w14:paraId="3E27F69E" w14:textId="77777777" w:rsidR="00383DBC" w:rsidRPr="00383DBC" w:rsidRDefault="00383DBC" w:rsidP="00383DBC">
      <w:pPr>
        <w:jc w:val="both"/>
        <w:rPr>
          <w:rFonts w:cs="Times New Roman"/>
          <w:b/>
          <w:bCs/>
          <w:sz w:val="24"/>
          <w:szCs w:val="24"/>
          <w:lang w:val="ru-RU"/>
        </w:rPr>
      </w:pPr>
      <w:r w:rsidRPr="00383DBC">
        <w:rPr>
          <w:rFonts w:cs="Times New Roman"/>
          <w:b/>
          <w:bCs/>
          <w:sz w:val="24"/>
          <w:szCs w:val="24"/>
          <w:lang w:val="ru-RU"/>
        </w:rPr>
        <w:t>Таблица 3 Результаты клинических и магнитно-резонансных исследований A2304</w:t>
      </w:r>
    </w:p>
    <w:tbl>
      <w:tblPr>
        <w:tblStyle w:val="aff2"/>
        <w:tblW w:w="5000" w:type="pct"/>
        <w:tblLayout w:type="fixed"/>
        <w:tblLook w:val="0000" w:firstRow="0" w:lastRow="0" w:firstColumn="0" w:lastColumn="0" w:noHBand="0" w:noVBand="0"/>
      </w:tblPr>
      <w:tblGrid>
        <w:gridCol w:w="4786"/>
        <w:gridCol w:w="2268"/>
        <w:gridCol w:w="2234"/>
      </w:tblGrid>
      <w:tr w:rsidR="00383DBC" w:rsidRPr="00383DBC" w14:paraId="5A0EE310" w14:textId="77777777" w:rsidTr="00482FB1">
        <w:tc>
          <w:tcPr>
            <w:tcW w:w="4786" w:type="dxa"/>
            <w:vMerge w:val="restart"/>
            <w:vAlign w:val="center"/>
          </w:tcPr>
          <w:p w14:paraId="1E2CE3AB" w14:textId="78BEA5E6" w:rsidR="00383DBC" w:rsidRPr="00383DBC" w:rsidRDefault="00383DBC" w:rsidP="00482FB1">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8"/>
                <w:rFonts w:ascii="Times New Roman" w:hAnsi="Times New Roman" w:cs="Times New Roman"/>
                <w:color w:val="000000"/>
                <w:sz w:val="24"/>
                <w:szCs w:val="24"/>
                <w:lang w:val="ru-RU"/>
              </w:rPr>
              <w:t>Результаты</w:t>
            </w:r>
          </w:p>
        </w:tc>
        <w:tc>
          <w:tcPr>
            <w:tcW w:w="4502" w:type="dxa"/>
            <w:gridSpan w:val="2"/>
            <w:vAlign w:val="center"/>
          </w:tcPr>
          <w:p w14:paraId="3B26C98C" w14:textId="77777777" w:rsidR="00383DBC" w:rsidRPr="00383DBC" w:rsidRDefault="00383DBC" w:rsidP="00482FB1">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8"/>
                <w:rFonts w:ascii="Times New Roman" w:hAnsi="Times New Roman" w:cs="Times New Roman"/>
                <w:color w:val="000000"/>
                <w:sz w:val="24"/>
                <w:szCs w:val="24"/>
                <w:lang w:val="ru-RU"/>
              </w:rPr>
              <w:t>Исследование A2304 (EXPAND)</w:t>
            </w:r>
          </w:p>
        </w:tc>
      </w:tr>
      <w:tr w:rsidR="00383DBC" w:rsidRPr="00383DBC" w14:paraId="5F488E08" w14:textId="77777777" w:rsidTr="00482FB1">
        <w:tc>
          <w:tcPr>
            <w:tcW w:w="4786" w:type="dxa"/>
            <w:vMerge/>
            <w:vAlign w:val="center"/>
          </w:tcPr>
          <w:p w14:paraId="0829C98A" w14:textId="77777777" w:rsidR="00383DBC" w:rsidRPr="00383DBC" w:rsidRDefault="00383DBC" w:rsidP="00482FB1">
            <w:pPr>
              <w:pStyle w:val="211"/>
              <w:shd w:val="clear" w:color="auto" w:fill="auto"/>
              <w:spacing w:line="240" w:lineRule="auto"/>
              <w:ind w:firstLine="0"/>
              <w:jc w:val="center"/>
              <w:rPr>
                <w:rFonts w:ascii="Times New Roman" w:hAnsi="Times New Roman" w:cs="Times New Roman"/>
                <w:sz w:val="24"/>
                <w:szCs w:val="24"/>
                <w:lang w:val="ru-RU"/>
              </w:rPr>
            </w:pPr>
          </w:p>
        </w:tc>
        <w:tc>
          <w:tcPr>
            <w:tcW w:w="2268" w:type="dxa"/>
            <w:vAlign w:val="center"/>
          </w:tcPr>
          <w:p w14:paraId="21577D72" w14:textId="6E61833B" w:rsidR="00383DBC" w:rsidRPr="00482FB1" w:rsidRDefault="00383DBC" w:rsidP="00482FB1">
            <w:pPr>
              <w:pStyle w:val="211"/>
              <w:shd w:val="clear" w:color="auto" w:fill="auto"/>
              <w:spacing w:line="240" w:lineRule="auto"/>
              <w:ind w:firstLine="0"/>
              <w:jc w:val="center"/>
              <w:rPr>
                <w:rFonts w:ascii="Times New Roman" w:hAnsi="Times New Roman" w:cs="Times New Roman"/>
                <w:b/>
                <w:bCs/>
                <w:color w:val="000000"/>
                <w:sz w:val="24"/>
                <w:szCs w:val="24"/>
                <w:lang w:val="ru-RU"/>
              </w:rPr>
            </w:pPr>
            <w:r w:rsidRPr="00383DBC">
              <w:rPr>
                <w:rStyle w:val="28"/>
                <w:rFonts w:ascii="Times New Roman" w:hAnsi="Times New Roman" w:cs="Times New Roman"/>
                <w:color w:val="000000"/>
                <w:sz w:val="24"/>
                <w:szCs w:val="24"/>
                <w:lang w:val="ru-RU"/>
              </w:rPr>
              <w:t>Сипонимод 2 мг</w:t>
            </w:r>
            <w:r w:rsidR="00482FB1">
              <w:rPr>
                <w:rStyle w:val="28"/>
                <w:rFonts w:ascii="Times New Roman" w:hAnsi="Times New Roman" w:cs="Times New Roman"/>
                <w:color w:val="000000"/>
                <w:sz w:val="24"/>
                <w:szCs w:val="24"/>
                <w:lang w:val="ru-RU"/>
              </w:rPr>
              <w:t xml:space="preserve"> </w:t>
            </w:r>
            <w:r w:rsidRPr="00383DBC">
              <w:rPr>
                <w:rStyle w:val="28"/>
                <w:rFonts w:ascii="Times New Roman" w:hAnsi="Times New Roman" w:cs="Times New Roman"/>
                <w:color w:val="000000"/>
                <w:sz w:val="24"/>
                <w:szCs w:val="24"/>
                <w:lang w:val="ru-RU"/>
              </w:rPr>
              <w:t>(n=1 099)</w:t>
            </w:r>
          </w:p>
        </w:tc>
        <w:tc>
          <w:tcPr>
            <w:tcW w:w="2234" w:type="dxa"/>
            <w:vAlign w:val="center"/>
          </w:tcPr>
          <w:p w14:paraId="10BBE936" w14:textId="77777777" w:rsidR="00482FB1" w:rsidRDefault="00383DBC" w:rsidP="00482FB1">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8"/>
                <w:rFonts w:ascii="Times New Roman" w:hAnsi="Times New Roman" w:cs="Times New Roman"/>
                <w:color w:val="000000"/>
                <w:sz w:val="24"/>
                <w:szCs w:val="24"/>
                <w:lang w:val="ru-RU"/>
              </w:rPr>
              <w:t>Плацебо</w:t>
            </w:r>
          </w:p>
          <w:p w14:paraId="69939F06" w14:textId="13EE85E6" w:rsidR="00383DBC" w:rsidRPr="00383DBC" w:rsidRDefault="00383DBC" w:rsidP="00482FB1">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8"/>
                <w:rFonts w:ascii="Times New Roman" w:hAnsi="Times New Roman" w:cs="Times New Roman"/>
                <w:color w:val="000000"/>
                <w:sz w:val="24"/>
                <w:szCs w:val="24"/>
                <w:lang w:val="ru-RU"/>
              </w:rPr>
              <w:t>(n=546)</w:t>
            </w:r>
          </w:p>
        </w:tc>
      </w:tr>
      <w:tr w:rsidR="00383DBC" w:rsidRPr="00383DBC" w14:paraId="5AA7EABA" w14:textId="77777777" w:rsidTr="00482FB1">
        <w:tc>
          <w:tcPr>
            <w:tcW w:w="9288" w:type="dxa"/>
            <w:gridSpan w:val="3"/>
          </w:tcPr>
          <w:p w14:paraId="7D7DB579" w14:textId="77777777" w:rsidR="00383DBC" w:rsidRPr="00383DBC" w:rsidRDefault="00383DBC" w:rsidP="00383DBC">
            <w:pPr>
              <w:pStyle w:val="211"/>
              <w:shd w:val="clear" w:color="auto" w:fill="auto"/>
              <w:spacing w:line="240" w:lineRule="auto"/>
              <w:ind w:firstLine="0"/>
              <w:rPr>
                <w:rFonts w:ascii="Times New Roman" w:hAnsi="Times New Roman" w:cs="Times New Roman"/>
                <w:sz w:val="24"/>
                <w:szCs w:val="24"/>
                <w:lang w:val="ru-RU"/>
              </w:rPr>
            </w:pPr>
            <w:r w:rsidRPr="00383DBC">
              <w:rPr>
                <w:rStyle w:val="28"/>
                <w:rFonts w:ascii="Times New Roman" w:hAnsi="Times New Roman" w:cs="Times New Roman"/>
                <w:color w:val="000000"/>
                <w:sz w:val="24"/>
                <w:szCs w:val="24"/>
                <w:lang w:val="ru-RU"/>
              </w:rPr>
              <w:t>Клинические результаты</w:t>
            </w:r>
          </w:p>
        </w:tc>
      </w:tr>
      <w:tr w:rsidR="00383DBC" w:rsidRPr="00383DBC" w14:paraId="515E974B" w14:textId="77777777" w:rsidTr="00482FB1">
        <w:tc>
          <w:tcPr>
            <w:tcW w:w="4786" w:type="dxa"/>
          </w:tcPr>
          <w:p w14:paraId="76E4C080" w14:textId="77777777" w:rsidR="00383DBC" w:rsidRPr="00383DBC" w:rsidRDefault="00383DBC" w:rsidP="00482FB1">
            <w:pPr>
              <w:pStyle w:val="211"/>
              <w:shd w:val="clear" w:color="auto" w:fill="auto"/>
              <w:spacing w:line="240" w:lineRule="auto"/>
              <w:ind w:firstLine="0"/>
              <w:jc w:val="both"/>
              <w:rPr>
                <w:rFonts w:ascii="Times New Roman" w:hAnsi="Times New Roman" w:cs="Times New Roman"/>
                <w:b/>
                <w:bCs/>
                <w:sz w:val="24"/>
                <w:szCs w:val="24"/>
                <w:lang w:val="ru-RU"/>
              </w:rPr>
            </w:pPr>
            <w:r w:rsidRPr="00383DBC">
              <w:rPr>
                <w:rFonts w:ascii="Times New Roman" w:hAnsi="Times New Roman" w:cs="Times New Roman"/>
                <w:b/>
                <w:bCs/>
                <w:sz w:val="24"/>
                <w:szCs w:val="24"/>
                <w:lang w:val="ru-RU"/>
              </w:rPr>
              <w:t>Основной результат эффективности:</w:t>
            </w:r>
          </w:p>
          <w:p w14:paraId="40B9F406" w14:textId="77777777" w:rsidR="00383DBC" w:rsidRPr="00383DBC" w:rsidRDefault="00383DBC" w:rsidP="00482FB1">
            <w:pPr>
              <w:pStyle w:val="211"/>
              <w:shd w:val="clear" w:color="auto" w:fill="auto"/>
              <w:spacing w:line="240" w:lineRule="auto"/>
              <w:ind w:firstLine="0"/>
              <w:jc w:val="both"/>
              <w:rPr>
                <w:rFonts w:ascii="Times New Roman" w:hAnsi="Times New Roman" w:cs="Times New Roman"/>
                <w:sz w:val="24"/>
                <w:szCs w:val="24"/>
                <w:lang w:val="ru-RU"/>
              </w:rPr>
            </w:pPr>
            <w:r w:rsidRPr="00383DBC">
              <w:rPr>
                <w:rFonts w:ascii="Times New Roman" w:hAnsi="Times New Roman" w:cs="Times New Roman"/>
                <w:sz w:val="24"/>
                <w:szCs w:val="24"/>
                <w:lang w:val="ru-RU"/>
              </w:rPr>
              <w:t>Пропорция пациентов с подтвержденным прогрессированием инвалидности через 3 месяца (основной результат)</w:t>
            </w:r>
          </w:p>
        </w:tc>
        <w:tc>
          <w:tcPr>
            <w:tcW w:w="2268" w:type="dxa"/>
            <w:vAlign w:val="center"/>
          </w:tcPr>
          <w:p w14:paraId="38D35808" w14:textId="5E40A97B"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26.3</w:t>
            </w:r>
            <w:r w:rsidR="00482FB1">
              <w:rPr>
                <w:rStyle w:val="230"/>
                <w:rFonts w:ascii="Times New Roman" w:hAnsi="Times New Roman" w:cs="Times New Roman"/>
                <w:color w:val="000000"/>
                <w:sz w:val="24"/>
                <w:szCs w:val="24"/>
                <w:lang w:val="ru-RU"/>
              </w:rPr>
              <w:t> </w:t>
            </w:r>
            <w:r w:rsidRPr="00383DBC">
              <w:rPr>
                <w:rStyle w:val="230"/>
                <w:rFonts w:ascii="Times New Roman" w:hAnsi="Times New Roman" w:cs="Times New Roman"/>
                <w:color w:val="000000"/>
                <w:sz w:val="24"/>
                <w:szCs w:val="24"/>
                <w:lang w:val="ru-RU"/>
              </w:rPr>
              <w:t>%</w:t>
            </w:r>
          </w:p>
        </w:tc>
        <w:tc>
          <w:tcPr>
            <w:tcW w:w="2234" w:type="dxa"/>
            <w:vAlign w:val="center"/>
          </w:tcPr>
          <w:p w14:paraId="1EE4FA2F" w14:textId="409394C2"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31.7</w:t>
            </w:r>
            <w:r w:rsidR="00482FB1">
              <w:rPr>
                <w:rStyle w:val="230"/>
                <w:rFonts w:ascii="Times New Roman" w:hAnsi="Times New Roman" w:cs="Times New Roman"/>
                <w:color w:val="000000"/>
                <w:sz w:val="24"/>
                <w:szCs w:val="24"/>
                <w:lang w:val="ru-RU"/>
              </w:rPr>
              <w:t> </w:t>
            </w:r>
            <w:r w:rsidRPr="00383DBC">
              <w:rPr>
                <w:rStyle w:val="230"/>
                <w:rFonts w:ascii="Times New Roman" w:hAnsi="Times New Roman" w:cs="Times New Roman"/>
                <w:color w:val="000000"/>
                <w:sz w:val="24"/>
                <w:szCs w:val="24"/>
                <w:lang w:val="ru-RU"/>
              </w:rPr>
              <w:t>%</w:t>
            </w:r>
          </w:p>
        </w:tc>
      </w:tr>
      <w:tr w:rsidR="00383DBC" w:rsidRPr="00383DBC" w14:paraId="36FF689B" w14:textId="77777777" w:rsidTr="00482FB1">
        <w:tc>
          <w:tcPr>
            <w:tcW w:w="4786" w:type="dxa"/>
          </w:tcPr>
          <w:p w14:paraId="34DEF742" w14:textId="77777777" w:rsidR="00383DBC" w:rsidRPr="00383DBC" w:rsidRDefault="00383DBC" w:rsidP="00482FB1">
            <w:pPr>
              <w:jc w:val="both"/>
              <w:rPr>
                <w:rFonts w:cs="Times New Roman"/>
                <w:sz w:val="24"/>
                <w:szCs w:val="24"/>
                <w:lang w:val="ru-RU"/>
              </w:rPr>
            </w:pPr>
            <w:r w:rsidRPr="00383DBC">
              <w:rPr>
                <w:rFonts w:cs="Times New Roman"/>
                <w:sz w:val="24"/>
                <w:szCs w:val="24"/>
                <w:lang w:val="ru-RU"/>
              </w:rPr>
              <w:t>Снижение риска</w:t>
            </w:r>
            <w:r w:rsidRPr="00383DBC">
              <w:rPr>
                <w:rFonts w:cs="Times New Roman"/>
                <w:sz w:val="24"/>
                <w:szCs w:val="24"/>
                <w:vertAlign w:val="superscript"/>
                <w:lang w:val="ru-RU"/>
              </w:rPr>
              <w:t>1</w:t>
            </w:r>
          </w:p>
        </w:tc>
        <w:tc>
          <w:tcPr>
            <w:tcW w:w="4502" w:type="dxa"/>
            <w:gridSpan w:val="2"/>
            <w:vAlign w:val="center"/>
          </w:tcPr>
          <w:p w14:paraId="68C05EBD"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21% (p=0.0134)</w:t>
            </w:r>
          </w:p>
        </w:tc>
      </w:tr>
      <w:tr w:rsidR="00383DBC" w:rsidRPr="00383DBC" w14:paraId="7450570C" w14:textId="77777777" w:rsidTr="00482FB1">
        <w:tc>
          <w:tcPr>
            <w:tcW w:w="4786" w:type="dxa"/>
          </w:tcPr>
          <w:p w14:paraId="7F5CC404" w14:textId="77777777" w:rsidR="00383DBC" w:rsidRPr="00383DBC" w:rsidRDefault="00383DBC" w:rsidP="00482FB1">
            <w:pPr>
              <w:jc w:val="both"/>
              <w:rPr>
                <w:rFonts w:cs="Times New Roman"/>
                <w:sz w:val="24"/>
                <w:szCs w:val="24"/>
                <w:lang w:val="ru-RU"/>
              </w:rPr>
            </w:pPr>
            <w:r w:rsidRPr="00383DBC">
              <w:rPr>
                <w:rFonts w:cs="Times New Roman"/>
                <w:sz w:val="24"/>
                <w:szCs w:val="24"/>
                <w:lang w:val="ru-RU"/>
              </w:rPr>
              <w:t>Процент пациентов с подтвержденным через 3 месяца 20-процентным улучшением результатов теста с хронометрической ходьбой на 25 футов</w:t>
            </w:r>
          </w:p>
        </w:tc>
        <w:tc>
          <w:tcPr>
            <w:tcW w:w="2268" w:type="dxa"/>
            <w:vAlign w:val="center"/>
          </w:tcPr>
          <w:p w14:paraId="24D8D91F"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39.7%</w:t>
            </w:r>
          </w:p>
        </w:tc>
        <w:tc>
          <w:tcPr>
            <w:tcW w:w="2234" w:type="dxa"/>
            <w:vAlign w:val="center"/>
          </w:tcPr>
          <w:p w14:paraId="2E0E43EB"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41.4%</w:t>
            </w:r>
          </w:p>
        </w:tc>
      </w:tr>
      <w:tr w:rsidR="00383DBC" w:rsidRPr="00383DBC" w14:paraId="666A9617" w14:textId="77777777" w:rsidTr="00482FB1">
        <w:tc>
          <w:tcPr>
            <w:tcW w:w="4786" w:type="dxa"/>
          </w:tcPr>
          <w:p w14:paraId="49286EE8" w14:textId="77777777" w:rsidR="00383DBC" w:rsidRPr="00383DBC" w:rsidRDefault="00383DBC" w:rsidP="00482FB1">
            <w:pPr>
              <w:jc w:val="both"/>
              <w:rPr>
                <w:rFonts w:cs="Times New Roman"/>
                <w:sz w:val="24"/>
                <w:szCs w:val="24"/>
                <w:lang w:val="ru-RU"/>
              </w:rPr>
            </w:pPr>
            <w:r w:rsidRPr="00383DBC">
              <w:rPr>
                <w:rFonts w:cs="Times New Roman"/>
                <w:sz w:val="24"/>
                <w:szCs w:val="24"/>
                <w:lang w:val="ru-RU"/>
              </w:rPr>
              <w:t>Снижение риска</w:t>
            </w:r>
            <w:r w:rsidRPr="00383DBC">
              <w:rPr>
                <w:rFonts w:cs="Times New Roman"/>
                <w:sz w:val="24"/>
                <w:szCs w:val="24"/>
                <w:vertAlign w:val="superscript"/>
                <w:lang w:val="ru-RU"/>
              </w:rPr>
              <w:t>1</w:t>
            </w:r>
          </w:p>
        </w:tc>
        <w:tc>
          <w:tcPr>
            <w:tcW w:w="4502" w:type="dxa"/>
            <w:gridSpan w:val="2"/>
            <w:vAlign w:val="center"/>
          </w:tcPr>
          <w:p w14:paraId="2F338463"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6% (p=0.4398)</w:t>
            </w:r>
          </w:p>
        </w:tc>
      </w:tr>
      <w:tr w:rsidR="00383DBC" w:rsidRPr="00383DBC" w14:paraId="1911F75B" w14:textId="77777777" w:rsidTr="00482FB1">
        <w:tc>
          <w:tcPr>
            <w:tcW w:w="4786" w:type="dxa"/>
          </w:tcPr>
          <w:p w14:paraId="220CDF2D" w14:textId="77777777" w:rsidR="00383DBC" w:rsidRPr="00383DBC" w:rsidRDefault="00383DBC" w:rsidP="00482FB1">
            <w:pPr>
              <w:jc w:val="both"/>
              <w:rPr>
                <w:rFonts w:cs="Times New Roman"/>
                <w:sz w:val="24"/>
                <w:szCs w:val="24"/>
                <w:lang w:val="ru-RU"/>
              </w:rPr>
            </w:pPr>
            <w:r w:rsidRPr="00383DBC">
              <w:rPr>
                <w:rFonts w:cs="Times New Roman"/>
                <w:sz w:val="24"/>
                <w:szCs w:val="24"/>
                <w:lang w:val="ru-RU"/>
              </w:rPr>
              <w:t>Процент пациентов с подтвержденным 6-месячным прогрессированием инвалидности</w:t>
            </w:r>
          </w:p>
        </w:tc>
        <w:tc>
          <w:tcPr>
            <w:tcW w:w="2268" w:type="dxa"/>
            <w:vAlign w:val="center"/>
          </w:tcPr>
          <w:p w14:paraId="62DA8D9F"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19.9%</w:t>
            </w:r>
          </w:p>
        </w:tc>
        <w:tc>
          <w:tcPr>
            <w:tcW w:w="2234" w:type="dxa"/>
            <w:vAlign w:val="center"/>
          </w:tcPr>
          <w:p w14:paraId="75780984"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25.5%</w:t>
            </w:r>
          </w:p>
        </w:tc>
      </w:tr>
      <w:tr w:rsidR="00383DBC" w:rsidRPr="00383DBC" w14:paraId="66079260" w14:textId="77777777" w:rsidTr="00482FB1">
        <w:tc>
          <w:tcPr>
            <w:tcW w:w="4786" w:type="dxa"/>
          </w:tcPr>
          <w:p w14:paraId="614B0ED6" w14:textId="77777777" w:rsidR="00383DBC" w:rsidRPr="00383DBC" w:rsidRDefault="00383DBC" w:rsidP="00482FB1">
            <w:pPr>
              <w:jc w:val="both"/>
              <w:rPr>
                <w:rFonts w:cs="Times New Roman"/>
                <w:sz w:val="24"/>
                <w:szCs w:val="24"/>
                <w:lang w:val="ru-RU"/>
              </w:rPr>
            </w:pPr>
            <w:r w:rsidRPr="00383DBC">
              <w:rPr>
                <w:rFonts w:cs="Times New Roman"/>
                <w:sz w:val="24"/>
                <w:szCs w:val="24"/>
                <w:lang w:val="ru-RU"/>
              </w:rPr>
              <w:t>Снижение риска</w:t>
            </w:r>
            <w:r w:rsidRPr="00383DBC">
              <w:rPr>
                <w:rFonts w:cs="Times New Roman"/>
                <w:sz w:val="24"/>
                <w:szCs w:val="24"/>
                <w:vertAlign w:val="superscript"/>
                <w:lang w:val="ru-RU"/>
              </w:rPr>
              <w:t>1</w:t>
            </w:r>
          </w:p>
        </w:tc>
        <w:tc>
          <w:tcPr>
            <w:tcW w:w="4502" w:type="dxa"/>
            <w:gridSpan w:val="2"/>
            <w:vAlign w:val="center"/>
          </w:tcPr>
          <w:p w14:paraId="17850B1A"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 xml:space="preserve">26% </w:t>
            </w:r>
            <w:r w:rsidRPr="00383DBC">
              <w:rPr>
                <w:rStyle w:val="220"/>
                <w:color w:val="000000"/>
                <w:sz w:val="24"/>
                <w:szCs w:val="24"/>
                <w:lang w:val="ru-RU"/>
              </w:rPr>
              <w:t>[(p=0.0058)]</w:t>
            </w:r>
            <w:r w:rsidRPr="00383DBC">
              <w:rPr>
                <w:rStyle w:val="220"/>
                <w:color w:val="000000"/>
                <w:sz w:val="24"/>
                <w:szCs w:val="24"/>
                <w:vertAlign w:val="superscript"/>
                <w:lang w:val="ru-RU"/>
              </w:rPr>
              <w:t>6</w:t>
            </w:r>
          </w:p>
        </w:tc>
      </w:tr>
      <w:tr w:rsidR="00383DBC" w:rsidRPr="00383DBC" w14:paraId="23A90911" w14:textId="77777777" w:rsidTr="00482FB1">
        <w:tc>
          <w:tcPr>
            <w:tcW w:w="4786" w:type="dxa"/>
          </w:tcPr>
          <w:p w14:paraId="4B8753FA" w14:textId="77777777" w:rsidR="00383DBC" w:rsidRPr="00383DBC" w:rsidRDefault="00383DBC" w:rsidP="00482FB1">
            <w:pPr>
              <w:jc w:val="both"/>
              <w:rPr>
                <w:rFonts w:cs="Times New Roman"/>
                <w:sz w:val="24"/>
                <w:szCs w:val="24"/>
                <w:lang w:val="ru-RU"/>
              </w:rPr>
            </w:pPr>
            <w:r w:rsidRPr="00383DBC">
              <w:rPr>
                <w:rFonts w:cs="Times New Roman"/>
                <w:sz w:val="24"/>
                <w:szCs w:val="24"/>
                <w:lang w:val="ru-RU"/>
              </w:rPr>
              <w:t>Годовая частота рецидивов (ARR)</w:t>
            </w:r>
          </w:p>
        </w:tc>
        <w:tc>
          <w:tcPr>
            <w:tcW w:w="2268" w:type="dxa"/>
            <w:vAlign w:val="center"/>
          </w:tcPr>
          <w:p w14:paraId="21AD7544"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0.071</w:t>
            </w:r>
          </w:p>
        </w:tc>
        <w:tc>
          <w:tcPr>
            <w:tcW w:w="2234" w:type="dxa"/>
            <w:vAlign w:val="center"/>
          </w:tcPr>
          <w:p w14:paraId="16786435"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0.152</w:t>
            </w:r>
          </w:p>
        </w:tc>
      </w:tr>
      <w:tr w:rsidR="00383DBC" w:rsidRPr="00383DBC" w14:paraId="1FE97B75" w14:textId="77777777" w:rsidTr="00482FB1">
        <w:tc>
          <w:tcPr>
            <w:tcW w:w="4786" w:type="dxa"/>
          </w:tcPr>
          <w:p w14:paraId="26CD936A" w14:textId="77777777" w:rsidR="00383DBC" w:rsidRPr="00383DBC" w:rsidRDefault="00383DBC" w:rsidP="00482FB1">
            <w:pPr>
              <w:jc w:val="both"/>
              <w:rPr>
                <w:rFonts w:cs="Times New Roman"/>
                <w:sz w:val="24"/>
                <w:szCs w:val="24"/>
                <w:lang w:val="ru-RU"/>
              </w:rPr>
            </w:pPr>
            <w:r w:rsidRPr="00383DBC">
              <w:rPr>
                <w:rFonts w:cs="Times New Roman"/>
                <w:sz w:val="24"/>
                <w:szCs w:val="24"/>
                <w:lang w:val="ru-RU"/>
              </w:rPr>
              <w:t>Снижение показателя</w:t>
            </w:r>
            <w:r w:rsidRPr="00383DBC">
              <w:rPr>
                <w:rFonts w:cs="Times New Roman"/>
                <w:sz w:val="24"/>
                <w:szCs w:val="24"/>
                <w:vertAlign w:val="superscript"/>
                <w:lang w:val="ru-RU"/>
              </w:rPr>
              <w:t>2</w:t>
            </w:r>
          </w:p>
        </w:tc>
        <w:tc>
          <w:tcPr>
            <w:tcW w:w="4502" w:type="dxa"/>
            <w:gridSpan w:val="2"/>
            <w:vAlign w:val="center"/>
          </w:tcPr>
          <w:p w14:paraId="379D12DD"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 xml:space="preserve">55% </w:t>
            </w:r>
            <w:r w:rsidRPr="00383DBC">
              <w:rPr>
                <w:rStyle w:val="220"/>
                <w:color w:val="000000"/>
                <w:sz w:val="24"/>
                <w:szCs w:val="24"/>
                <w:lang w:val="ru-RU"/>
              </w:rPr>
              <w:t>[(p&lt;0.0001)]</w:t>
            </w:r>
            <w:r w:rsidRPr="00383DBC">
              <w:rPr>
                <w:rStyle w:val="220"/>
                <w:color w:val="000000"/>
                <w:sz w:val="24"/>
                <w:szCs w:val="24"/>
                <w:vertAlign w:val="superscript"/>
                <w:lang w:val="ru-RU"/>
              </w:rPr>
              <w:t>6</w:t>
            </w:r>
          </w:p>
        </w:tc>
      </w:tr>
      <w:tr w:rsidR="00383DBC" w:rsidRPr="00383DBC" w14:paraId="28A287BB" w14:textId="77777777" w:rsidTr="00482FB1">
        <w:tc>
          <w:tcPr>
            <w:tcW w:w="9288" w:type="dxa"/>
            <w:gridSpan w:val="3"/>
            <w:vAlign w:val="center"/>
          </w:tcPr>
          <w:p w14:paraId="5B3202CE" w14:textId="77777777" w:rsidR="00383DBC" w:rsidRPr="00383DBC" w:rsidRDefault="00383DBC" w:rsidP="00383DBC">
            <w:pPr>
              <w:pStyle w:val="211"/>
              <w:shd w:val="clear" w:color="auto" w:fill="auto"/>
              <w:spacing w:line="240" w:lineRule="auto"/>
              <w:ind w:firstLine="0"/>
              <w:jc w:val="both"/>
              <w:rPr>
                <w:rStyle w:val="28"/>
                <w:rFonts w:ascii="Times New Roman" w:hAnsi="Times New Roman" w:cs="Times New Roman"/>
                <w:color w:val="000000"/>
                <w:sz w:val="24"/>
                <w:szCs w:val="24"/>
                <w:lang w:val="ru-RU"/>
              </w:rPr>
            </w:pPr>
            <w:r w:rsidRPr="00383DBC">
              <w:rPr>
                <w:rStyle w:val="28"/>
                <w:rFonts w:ascii="Times New Roman" w:hAnsi="Times New Roman" w:cs="Times New Roman"/>
                <w:color w:val="000000"/>
                <w:sz w:val="24"/>
                <w:szCs w:val="24"/>
                <w:lang w:val="ru-RU"/>
              </w:rPr>
              <w:t>Результаты МРТ</w:t>
            </w:r>
          </w:p>
        </w:tc>
      </w:tr>
      <w:tr w:rsidR="00383DBC" w:rsidRPr="00383DBC" w14:paraId="53C9AF5D" w14:textId="77777777" w:rsidTr="00482FB1">
        <w:tc>
          <w:tcPr>
            <w:tcW w:w="4786" w:type="dxa"/>
          </w:tcPr>
          <w:p w14:paraId="7E3DE42D" w14:textId="77777777" w:rsidR="00383DBC" w:rsidRPr="00383DBC" w:rsidRDefault="00383DBC" w:rsidP="00482FB1">
            <w:pPr>
              <w:jc w:val="both"/>
              <w:rPr>
                <w:rFonts w:cs="Times New Roman"/>
                <w:sz w:val="24"/>
                <w:szCs w:val="24"/>
                <w:lang w:val="ru-RU"/>
              </w:rPr>
            </w:pPr>
            <w:r w:rsidRPr="00383DBC">
              <w:rPr>
                <w:rFonts w:cs="Times New Roman"/>
                <w:sz w:val="24"/>
                <w:szCs w:val="24"/>
                <w:lang w:val="ru-RU"/>
              </w:rPr>
              <w:t>Изменение объема поражения Т2 по сравнению с исходным уровнем (мм</w:t>
            </w:r>
            <w:r w:rsidRPr="00383DBC">
              <w:rPr>
                <w:rFonts w:cs="Times New Roman"/>
                <w:sz w:val="24"/>
                <w:szCs w:val="24"/>
                <w:vertAlign w:val="superscript"/>
                <w:lang w:val="ru-RU"/>
              </w:rPr>
              <w:t>3</w:t>
            </w:r>
            <w:r w:rsidRPr="00383DBC">
              <w:rPr>
                <w:rFonts w:cs="Times New Roman"/>
                <w:sz w:val="24"/>
                <w:szCs w:val="24"/>
                <w:lang w:val="ru-RU"/>
              </w:rPr>
              <w:t>)</w:t>
            </w:r>
            <w:r w:rsidRPr="00383DBC">
              <w:rPr>
                <w:rFonts w:cs="Times New Roman"/>
                <w:sz w:val="24"/>
                <w:szCs w:val="24"/>
                <w:vertAlign w:val="superscript"/>
                <w:lang w:val="ru-RU"/>
              </w:rPr>
              <w:t xml:space="preserve"> 3</w:t>
            </w:r>
          </w:p>
        </w:tc>
        <w:tc>
          <w:tcPr>
            <w:tcW w:w="2268" w:type="dxa"/>
            <w:vAlign w:val="center"/>
          </w:tcPr>
          <w:p w14:paraId="27678AFC"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+184 мм</w:t>
            </w:r>
            <w:r w:rsidRPr="00383DBC">
              <w:rPr>
                <w:rStyle w:val="230"/>
                <w:rFonts w:ascii="Times New Roman" w:hAnsi="Times New Roman" w:cs="Times New Roman"/>
                <w:color w:val="000000"/>
                <w:sz w:val="24"/>
                <w:szCs w:val="24"/>
                <w:vertAlign w:val="superscript"/>
                <w:lang w:val="ru-RU"/>
              </w:rPr>
              <w:t>3</w:t>
            </w:r>
          </w:p>
        </w:tc>
        <w:tc>
          <w:tcPr>
            <w:tcW w:w="2234" w:type="dxa"/>
            <w:vAlign w:val="center"/>
          </w:tcPr>
          <w:p w14:paraId="4A4BAA1B"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+879 мм</w:t>
            </w:r>
            <w:r w:rsidRPr="00383DBC">
              <w:rPr>
                <w:rStyle w:val="230"/>
                <w:rFonts w:ascii="Times New Roman" w:hAnsi="Times New Roman" w:cs="Times New Roman"/>
                <w:color w:val="000000"/>
                <w:sz w:val="24"/>
                <w:szCs w:val="24"/>
                <w:vertAlign w:val="superscript"/>
                <w:lang w:val="ru-RU"/>
              </w:rPr>
              <w:t>3</w:t>
            </w:r>
          </w:p>
        </w:tc>
      </w:tr>
      <w:tr w:rsidR="00383DBC" w:rsidRPr="00383DBC" w14:paraId="4D9D76BA" w14:textId="77777777" w:rsidTr="00482FB1">
        <w:tc>
          <w:tcPr>
            <w:tcW w:w="4786" w:type="dxa"/>
          </w:tcPr>
          <w:p w14:paraId="7B596FA7" w14:textId="77777777" w:rsidR="00383DBC" w:rsidRPr="00383DBC" w:rsidRDefault="00383DBC" w:rsidP="00482FB1">
            <w:pPr>
              <w:jc w:val="both"/>
              <w:rPr>
                <w:rFonts w:cs="Times New Roman"/>
                <w:sz w:val="24"/>
                <w:szCs w:val="24"/>
                <w:lang w:val="ru-RU"/>
              </w:rPr>
            </w:pPr>
            <w:r w:rsidRPr="00383DBC">
              <w:rPr>
                <w:rFonts w:cs="Times New Roman"/>
                <w:sz w:val="24"/>
                <w:szCs w:val="24"/>
                <w:lang w:val="ru-RU"/>
              </w:rPr>
              <w:t>Разница в изменении объема поражения Т2</w:t>
            </w:r>
          </w:p>
        </w:tc>
        <w:tc>
          <w:tcPr>
            <w:tcW w:w="4502" w:type="dxa"/>
            <w:gridSpan w:val="2"/>
            <w:vAlign w:val="center"/>
          </w:tcPr>
          <w:p w14:paraId="311D56F3"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-695 мм</w:t>
            </w:r>
            <w:r w:rsidRPr="00383DBC">
              <w:rPr>
                <w:rStyle w:val="230"/>
                <w:rFonts w:ascii="Times New Roman" w:hAnsi="Times New Roman" w:cs="Times New Roman"/>
                <w:color w:val="000000"/>
                <w:sz w:val="24"/>
                <w:szCs w:val="24"/>
                <w:vertAlign w:val="superscript"/>
                <w:lang w:val="ru-RU"/>
              </w:rPr>
              <w:t>3</w:t>
            </w:r>
            <w:r w:rsidRPr="00383DBC">
              <w:rPr>
                <w:rStyle w:val="230"/>
                <w:rFonts w:ascii="Times New Roman" w:hAnsi="Times New Roman" w:cs="Times New Roman"/>
                <w:color w:val="000000"/>
                <w:sz w:val="24"/>
                <w:szCs w:val="24"/>
                <w:lang w:val="ru-RU"/>
              </w:rPr>
              <w:t xml:space="preserve"> (p&lt;0.0001)</w:t>
            </w:r>
            <w:r w:rsidRPr="00383DBC">
              <w:rPr>
                <w:rStyle w:val="230"/>
                <w:rFonts w:ascii="Times New Roman" w:hAnsi="Times New Roman" w:cs="Times New Roman"/>
                <w:color w:val="000000"/>
                <w:sz w:val="24"/>
                <w:szCs w:val="24"/>
                <w:vertAlign w:val="superscript"/>
                <w:lang w:val="ru-RU"/>
              </w:rPr>
              <w:t>7</w:t>
            </w:r>
          </w:p>
        </w:tc>
      </w:tr>
      <w:tr w:rsidR="00383DBC" w:rsidRPr="00383DBC" w14:paraId="1085BB1B" w14:textId="77777777" w:rsidTr="00482FB1">
        <w:tc>
          <w:tcPr>
            <w:tcW w:w="4786" w:type="dxa"/>
          </w:tcPr>
          <w:p w14:paraId="2CE09E3B" w14:textId="77777777" w:rsidR="00383DBC" w:rsidRPr="00383DBC" w:rsidRDefault="00383DBC" w:rsidP="00482FB1">
            <w:pPr>
              <w:jc w:val="both"/>
              <w:rPr>
                <w:rFonts w:cs="Times New Roman"/>
                <w:sz w:val="24"/>
                <w:szCs w:val="24"/>
                <w:lang w:val="ru-RU"/>
              </w:rPr>
            </w:pPr>
            <w:r w:rsidRPr="00383DBC">
              <w:rPr>
                <w:rFonts w:cs="Times New Roman"/>
                <w:sz w:val="24"/>
                <w:szCs w:val="24"/>
                <w:lang w:val="ru-RU"/>
              </w:rPr>
              <w:t xml:space="preserve">Изменение объема мозга в процентах по </w:t>
            </w:r>
            <w:r w:rsidRPr="00383DBC">
              <w:rPr>
                <w:rFonts w:cs="Times New Roman"/>
                <w:sz w:val="24"/>
                <w:szCs w:val="24"/>
                <w:lang w:val="ru-RU"/>
              </w:rPr>
              <w:lastRenderedPageBreak/>
              <w:t>сравнению с исходным уровнем (95% ДИ)</w:t>
            </w:r>
            <w:r w:rsidRPr="00383DBC">
              <w:rPr>
                <w:rFonts w:cs="Times New Roman"/>
                <w:sz w:val="24"/>
                <w:szCs w:val="24"/>
                <w:vertAlign w:val="superscript"/>
                <w:lang w:val="ru-RU"/>
              </w:rPr>
              <w:t xml:space="preserve"> 3</w:t>
            </w:r>
          </w:p>
        </w:tc>
        <w:tc>
          <w:tcPr>
            <w:tcW w:w="2268" w:type="dxa"/>
            <w:vAlign w:val="center"/>
          </w:tcPr>
          <w:p w14:paraId="4022FD0C"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lastRenderedPageBreak/>
              <w:t>-0.497%</w:t>
            </w:r>
          </w:p>
        </w:tc>
        <w:tc>
          <w:tcPr>
            <w:tcW w:w="2234" w:type="dxa"/>
            <w:vAlign w:val="center"/>
          </w:tcPr>
          <w:p w14:paraId="1952975E"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-0.649%</w:t>
            </w:r>
          </w:p>
        </w:tc>
      </w:tr>
      <w:tr w:rsidR="00383DBC" w:rsidRPr="00383DBC" w14:paraId="1EB46FA2" w14:textId="77777777" w:rsidTr="00482FB1">
        <w:tc>
          <w:tcPr>
            <w:tcW w:w="4786" w:type="dxa"/>
          </w:tcPr>
          <w:p w14:paraId="7567B8FF" w14:textId="77777777" w:rsidR="00383DBC" w:rsidRPr="00383DBC" w:rsidRDefault="00383DBC" w:rsidP="00482FB1">
            <w:pPr>
              <w:jc w:val="both"/>
              <w:rPr>
                <w:rFonts w:cs="Times New Roman"/>
                <w:sz w:val="24"/>
                <w:szCs w:val="24"/>
                <w:lang w:val="ru-RU"/>
              </w:rPr>
            </w:pPr>
            <w:r w:rsidRPr="00383DBC">
              <w:rPr>
                <w:rFonts w:cs="Times New Roman"/>
                <w:sz w:val="24"/>
                <w:szCs w:val="24"/>
                <w:lang w:val="ru-RU"/>
              </w:rPr>
              <w:lastRenderedPageBreak/>
              <w:t>Разница в процентном изменении объема мозга</w:t>
            </w:r>
          </w:p>
        </w:tc>
        <w:tc>
          <w:tcPr>
            <w:tcW w:w="4502" w:type="dxa"/>
            <w:gridSpan w:val="2"/>
            <w:vAlign w:val="center"/>
          </w:tcPr>
          <w:p w14:paraId="273105B3"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 xml:space="preserve">0.152% </w:t>
            </w:r>
            <w:r w:rsidRPr="00383DBC">
              <w:rPr>
                <w:rStyle w:val="220"/>
                <w:color w:val="000000"/>
                <w:sz w:val="24"/>
                <w:szCs w:val="24"/>
                <w:lang w:val="ru-RU"/>
              </w:rPr>
              <w:t>[(p=0.0002)]</w:t>
            </w:r>
            <w:r w:rsidRPr="00383DBC">
              <w:rPr>
                <w:rStyle w:val="220"/>
                <w:color w:val="000000"/>
                <w:sz w:val="24"/>
                <w:szCs w:val="24"/>
                <w:vertAlign w:val="superscript"/>
                <w:lang w:val="ru-RU"/>
              </w:rPr>
              <w:t>6</w:t>
            </w:r>
          </w:p>
        </w:tc>
      </w:tr>
      <w:tr w:rsidR="00383DBC" w:rsidRPr="00383DBC" w14:paraId="5FB38AD4" w14:textId="77777777" w:rsidTr="00482FB1">
        <w:tc>
          <w:tcPr>
            <w:tcW w:w="4786" w:type="dxa"/>
          </w:tcPr>
          <w:p w14:paraId="0B2B57E5" w14:textId="77777777" w:rsidR="00383DBC" w:rsidRPr="00383DBC" w:rsidRDefault="00383DBC" w:rsidP="00482FB1">
            <w:pPr>
              <w:jc w:val="both"/>
              <w:rPr>
                <w:rFonts w:cs="Times New Roman"/>
                <w:sz w:val="24"/>
                <w:szCs w:val="24"/>
                <w:lang w:val="ru-RU"/>
              </w:rPr>
            </w:pPr>
            <w:r w:rsidRPr="00383DBC">
              <w:rPr>
                <w:rFonts w:cs="Times New Roman"/>
                <w:sz w:val="24"/>
                <w:szCs w:val="24"/>
                <w:lang w:val="ru-RU"/>
              </w:rPr>
              <w:t>Среднее кумулятивное количество поражений, усиленных Gd-фильтром по Т1 (95% ДИ)</w:t>
            </w:r>
            <w:r w:rsidRPr="00383DBC">
              <w:rPr>
                <w:rFonts w:cs="Times New Roman"/>
                <w:sz w:val="24"/>
                <w:szCs w:val="24"/>
                <w:vertAlign w:val="superscript"/>
                <w:lang w:val="ru-RU"/>
              </w:rPr>
              <w:t>4</w:t>
            </w:r>
          </w:p>
        </w:tc>
        <w:tc>
          <w:tcPr>
            <w:tcW w:w="2268" w:type="dxa"/>
            <w:vAlign w:val="center"/>
          </w:tcPr>
          <w:p w14:paraId="18D7AEF5"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0.081</w:t>
            </w:r>
          </w:p>
        </w:tc>
        <w:tc>
          <w:tcPr>
            <w:tcW w:w="2234" w:type="dxa"/>
            <w:vAlign w:val="center"/>
          </w:tcPr>
          <w:p w14:paraId="255F9A6A"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0.596</w:t>
            </w:r>
          </w:p>
        </w:tc>
      </w:tr>
      <w:tr w:rsidR="00383DBC" w:rsidRPr="00383DBC" w14:paraId="58F3AB3A" w14:textId="77777777" w:rsidTr="00482FB1">
        <w:tc>
          <w:tcPr>
            <w:tcW w:w="4786" w:type="dxa"/>
          </w:tcPr>
          <w:p w14:paraId="05E1DB4F" w14:textId="77777777" w:rsidR="00383DBC" w:rsidRPr="00383DBC" w:rsidRDefault="00383DBC" w:rsidP="00482FB1">
            <w:pPr>
              <w:jc w:val="both"/>
              <w:rPr>
                <w:rFonts w:cs="Times New Roman"/>
                <w:sz w:val="24"/>
                <w:szCs w:val="24"/>
                <w:lang w:val="ru-RU"/>
              </w:rPr>
            </w:pPr>
            <w:r w:rsidRPr="00383DBC">
              <w:rPr>
                <w:rFonts w:cs="Times New Roman"/>
                <w:sz w:val="24"/>
                <w:szCs w:val="24"/>
                <w:lang w:val="ru-RU"/>
              </w:rPr>
              <w:t>Снижение показателя</w:t>
            </w:r>
          </w:p>
        </w:tc>
        <w:tc>
          <w:tcPr>
            <w:tcW w:w="4502" w:type="dxa"/>
            <w:gridSpan w:val="2"/>
            <w:vAlign w:val="center"/>
          </w:tcPr>
          <w:p w14:paraId="44A71594"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 xml:space="preserve">86% </w:t>
            </w:r>
            <w:r w:rsidRPr="00383DBC">
              <w:rPr>
                <w:rStyle w:val="220"/>
                <w:color w:val="000000"/>
                <w:sz w:val="24"/>
                <w:szCs w:val="24"/>
                <w:lang w:val="ru-RU"/>
              </w:rPr>
              <w:t>[(p&lt;0.0001)]</w:t>
            </w:r>
            <w:r w:rsidRPr="00383DBC">
              <w:rPr>
                <w:rStyle w:val="220"/>
                <w:color w:val="000000"/>
                <w:sz w:val="24"/>
                <w:szCs w:val="24"/>
                <w:vertAlign w:val="superscript"/>
                <w:lang w:val="ru-RU"/>
              </w:rPr>
              <w:t>6</w:t>
            </w:r>
          </w:p>
        </w:tc>
      </w:tr>
      <w:tr w:rsidR="00383DBC" w:rsidRPr="00383DBC" w14:paraId="18F4C43C" w14:textId="77777777" w:rsidTr="00482FB1">
        <w:tc>
          <w:tcPr>
            <w:tcW w:w="4786" w:type="dxa"/>
          </w:tcPr>
          <w:p w14:paraId="16FCAF75" w14:textId="77777777" w:rsidR="00383DBC" w:rsidRPr="00383DBC" w:rsidRDefault="00383DBC" w:rsidP="00482FB1">
            <w:pPr>
              <w:jc w:val="both"/>
              <w:rPr>
                <w:rFonts w:cs="Times New Roman"/>
                <w:sz w:val="24"/>
                <w:szCs w:val="24"/>
                <w:lang w:val="ru-RU"/>
              </w:rPr>
            </w:pPr>
            <w:r w:rsidRPr="00383DBC">
              <w:rPr>
                <w:rFonts w:cs="Times New Roman"/>
                <w:sz w:val="24"/>
                <w:szCs w:val="24"/>
                <w:lang w:val="ru-RU"/>
              </w:rPr>
              <w:t>Процент пациентов с ухудшением на 4 балла в тесте Symbol Digit Modality Test</w:t>
            </w:r>
            <w:r w:rsidRPr="00383DBC">
              <w:rPr>
                <w:rFonts w:cs="Times New Roman"/>
                <w:sz w:val="24"/>
                <w:szCs w:val="24"/>
                <w:vertAlign w:val="superscript"/>
                <w:lang w:val="ru-RU"/>
              </w:rPr>
              <w:t>5</w:t>
            </w:r>
          </w:p>
        </w:tc>
        <w:tc>
          <w:tcPr>
            <w:tcW w:w="2268" w:type="dxa"/>
            <w:vAlign w:val="center"/>
          </w:tcPr>
          <w:p w14:paraId="76E3D7BE"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16.0%</w:t>
            </w:r>
          </w:p>
        </w:tc>
        <w:tc>
          <w:tcPr>
            <w:tcW w:w="2234" w:type="dxa"/>
            <w:vAlign w:val="center"/>
          </w:tcPr>
          <w:p w14:paraId="1DD895BA"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20.9%</w:t>
            </w:r>
          </w:p>
        </w:tc>
      </w:tr>
      <w:tr w:rsidR="00383DBC" w:rsidRPr="00383DBC" w14:paraId="3DE5CBA2" w14:textId="77777777" w:rsidTr="00482FB1">
        <w:tc>
          <w:tcPr>
            <w:tcW w:w="4786" w:type="dxa"/>
          </w:tcPr>
          <w:p w14:paraId="0118E61A" w14:textId="77777777" w:rsidR="00383DBC" w:rsidRPr="00383DBC" w:rsidRDefault="00383DBC" w:rsidP="00482FB1">
            <w:pPr>
              <w:jc w:val="both"/>
              <w:rPr>
                <w:rFonts w:cs="Times New Roman"/>
                <w:sz w:val="24"/>
                <w:szCs w:val="24"/>
                <w:lang w:val="ru-RU"/>
              </w:rPr>
            </w:pPr>
            <w:r w:rsidRPr="00383DBC">
              <w:rPr>
                <w:rFonts w:cs="Times New Roman"/>
                <w:sz w:val="24"/>
                <w:szCs w:val="24"/>
                <w:lang w:val="ru-RU"/>
              </w:rPr>
              <w:t>Снижение риска</w:t>
            </w:r>
            <w:r w:rsidRPr="00383DBC">
              <w:rPr>
                <w:rFonts w:cs="Times New Roman"/>
                <w:sz w:val="24"/>
                <w:szCs w:val="24"/>
                <w:vertAlign w:val="superscript"/>
                <w:lang w:val="ru-RU"/>
              </w:rPr>
              <w:t>1</w:t>
            </w:r>
          </w:p>
        </w:tc>
        <w:tc>
          <w:tcPr>
            <w:tcW w:w="4502" w:type="dxa"/>
            <w:gridSpan w:val="2"/>
            <w:vAlign w:val="center"/>
          </w:tcPr>
          <w:p w14:paraId="33401EAE" w14:textId="77777777" w:rsidR="00383DBC" w:rsidRPr="00383DBC" w:rsidRDefault="00383DBC" w:rsidP="00383DBC">
            <w:pPr>
              <w:pStyle w:val="211"/>
              <w:shd w:val="clear" w:color="auto" w:fill="auto"/>
              <w:spacing w:line="240" w:lineRule="auto"/>
              <w:ind w:firstLine="0"/>
              <w:jc w:val="center"/>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 xml:space="preserve">25% </w:t>
            </w:r>
            <w:r w:rsidRPr="00383DBC">
              <w:rPr>
                <w:rStyle w:val="220"/>
                <w:sz w:val="24"/>
                <w:szCs w:val="24"/>
                <w:lang w:val="ru-RU"/>
              </w:rPr>
              <w:t>[</w:t>
            </w:r>
            <w:r w:rsidRPr="00383DBC">
              <w:rPr>
                <w:rStyle w:val="220"/>
                <w:color w:val="000000"/>
                <w:sz w:val="24"/>
                <w:szCs w:val="24"/>
                <w:lang w:val="ru-RU"/>
              </w:rPr>
              <w:t>(p=0.0163)]</w:t>
            </w:r>
            <w:r w:rsidRPr="00383DBC">
              <w:rPr>
                <w:rStyle w:val="220"/>
                <w:color w:val="000000"/>
                <w:sz w:val="24"/>
                <w:szCs w:val="24"/>
                <w:vertAlign w:val="superscript"/>
                <w:lang w:val="ru-RU"/>
              </w:rPr>
              <w:t>6</w:t>
            </w:r>
          </w:p>
        </w:tc>
      </w:tr>
      <w:tr w:rsidR="00383DBC" w:rsidRPr="005818B4" w14:paraId="6AEA178A" w14:textId="77777777" w:rsidTr="00482FB1">
        <w:tc>
          <w:tcPr>
            <w:tcW w:w="9288" w:type="dxa"/>
            <w:gridSpan w:val="3"/>
          </w:tcPr>
          <w:p w14:paraId="33C1E3B3" w14:textId="7165691D" w:rsidR="00383DBC" w:rsidRPr="006215CD" w:rsidRDefault="00383DBC" w:rsidP="00383DBC">
            <w:pPr>
              <w:jc w:val="both"/>
              <w:rPr>
                <w:rStyle w:val="230"/>
                <w:rFonts w:cs="Times New Roman"/>
                <w:szCs w:val="24"/>
                <w:lang w:val="ru-RU"/>
              </w:rPr>
            </w:pPr>
            <w:r w:rsidRPr="006215CD">
              <w:rPr>
                <w:rStyle w:val="230"/>
                <w:rFonts w:cs="Times New Roman"/>
                <w:szCs w:val="24"/>
                <w:vertAlign w:val="superscript"/>
                <w:lang w:val="ru-RU"/>
              </w:rPr>
              <w:t>1</w:t>
            </w:r>
            <w:r w:rsidR="006215CD" w:rsidRPr="006215CD">
              <w:rPr>
                <w:rFonts w:cs="Times New Roman"/>
                <w:szCs w:val="24"/>
                <w:lang w:val="ru-RU"/>
              </w:rPr>
              <w:t> </w:t>
            </w:r>
            <w:r w:rsidRPr="006215CD">
              <w:rPr>
                <w:rStyle w:val="230"/>
                <w:rFonts w:cs="Times New Roman"/>
                <w:szCs w:val="24"/>
                <w:lang w:val="ru-RU"/>
              </w:rPr>
              <w:t>Из модели Кокса для времени до прогрессирования</w:t>
            </w:r>
          </w:p>
          <w:p w14:paraId="30492418" w14:textId="7A26704B" w:rsidR="00383DBC" w:rsidRPr="006215CD" w:rsidRDefault="00383DBC" w:rsidP="00383DBC">
            <w:pPr>
              <w:jc w:val="both"/>
              <w:rPr>
                <w:rStyle w:val="230"/>
                <w:rFonts w:cs="Times New Roman"/>
                <w:szCs w:val="24"/>
                <w:lang w:val="ru-RU"/>
              </w:rPr>
            </w:pPr>
            <w:r w:rsidRPr="006215CD">
              <w:rPr>
                <w:rStyle w:val="230"/>
                <w:rFonts w:cs="Times New Roman"/>
                <w:szCs w:val="24"/>
                <w:vertAlign w:val="superscript"/>
                <w:lang w:val="ru-RU"/>
              </w:rPr>
              <w:t>2</w:t>
            </w:r>
            <w:r w:rsidR="006215CD" w:rsidRPr="006215CD">
              <w:rPr>
                <w:rStyle w:val="230"/>
                <w:rFonts w:cs="Times New Roman"/>
                <w:szCs w:val="24"/>
                <w:lang w:val="ru-RU"/>
              </w:rPr>
              <w:t> </w:t>
            </w:r>
            <w:r w:rsidRPr="006215CD">
              <w:rPr>
                <w:rStyle w:val="230"/>
                <w:rFonts w:cs="Times New Roman"/>
                <w:szCs w:val="24"/>
                <w:lang w:val="ru-RU"/>
              </w:rPr>
              <w:t>Из модели для повторяющихся событий</w:t>
            </w:r>
          </w:p>
          <w:p w14:paraId="00FA6CF0" w14:textId="63F230DE" w:rsidR="00383DBC" w:rsidRPr="006215CD" w:rsidRDefault="00383DBC" w:rsidP="00383DBC">
            <w:pPr>
              <w:jc w:val="both"/>
              <w:rPr>
                <w:rStyle w:val="230"/>
                <w:rFonts w:cs="Times New Roman"/>
                <w:szCs w:val="24"/>
                <w:lang w:val="ru-RU"/>
              </w:rPr>
            </w:pPr>
            <w:r w:rsidRPr="006215CD">
              <w:rPr>
                <w:rStyle w:val="230"/>
                <w:rFonts w:cs="Times New Roman"/>
                <w:szCs w:val="24"/>
                <w:vertAlign w:val="superscript"/>
                <w:lang w:val="ru-RU"/>
              </w:rPr>
              <w:t>3</w:t>
            </w:r>
            <w:r w:rsidR="006215CD" w:rsidRPr="006215CD">
              <w:rPr>
                <w:rFonts w:cs="Times New Roman"/>
                <w:szCs w:val="24"/>
                <w:lang w:val="ru-RU"/>
              </w:rPr>
              <w:t> </w:t>
            </w:r>
            <w:r w:rsidRPr="006215CD">
              <w:rPr>
                <w:rStyle w:val="230"/>
                <w:rFonts w:cs="Times New Roman"/>
                <w:szCs w:val="24"/>
                <w:lang w:val="ru-RU"/>
              </w:rPr>
              <w:t>Среднее за 12-й и 24-й месяц</w:t>
            </w:r>
          </w:p>
          <w:p w14:paraId="2231D9DA" w14:textId="6E501083" w:rsidR="00383DBC" w:rsidRPr="006215CD" w:rsidRDefault="00383DBC" w:rsidP="00383DBC">
            <w:pPr>
              <w:jc w:val="both"/>
              <w:rPr>
                <w:rStyle w:val="230"/>
                <w:rFonts w:cs="Times New Roman"/>
                <w:szCs w:val="24"/>
                <w:lang w:val="ru-RU"/>
              </w:rPr>
            </w:pPr>
            <w:r w:rsidRPr="006215CD">
              <w:rPr>
                <w:rStyle w:val="230"/>
                <w:rFonts w:cs="Times New Roman"/>
                <w:szCs w:val="24"/>
                <w:vertAlign w:val="superscript"/>
                <w:lang w:val="ru-RU"/>
              </w:rPr>
              <w:t>4</w:t>
            </w:r>
            <w:r w:rsidR="006215CD" w:rsidRPr="006215CD">
              <w:rPr>
                <w:rFonts w:cs="Times New Roman"/>
                <w:szCs w:val="24"/>
                <w:lang w:val="ru-RU"/>
              </w:rPr>
              <w:t> </w:t>
            </w:r>
            <w:r w:rsidRPr="006215CD">
              <w:rPr>
                <w:rStyle w:val="230"/>
                <w:rFonts w:cs="Times New Roman"/>
                <w:szCs w:val="24"/>
                <w:lang w:val="ru-RU"/>
              </w:rPr>
              <w:t>До 24-го месяца</w:t>
            </w:r>
          </w:p>
          <w:p w14:paraId="6D7F4F8B" w14:textId="76842B52" w:rsidR="00383DBC" w:rsidRPr="006215CD" w:rsidRDefault="00383DBC" w:rsidP="00383DBC">
            <w:pPr>
              <w:jc w:val="both"/>
              <w:rPr>
                <w:rStyle w:val="230"/>
                <w:rFonts w:cs="Times New Roman"/>
                <w:szCs w:val="24"/>
                <w:lang w:val="ru-RU"/>
              </w:rPr>
            </w:pPr>
            <w:r w:rsidRPr="006215CD">
              <w:rPr>
                <w:rStyle w:val="230"/>
                <w:rFonts w:cs="Times New Roman"/>
                <w:szCs w:val="24"/>
                <w:vertAlign w:val="superscript"/>
                <w:lang w:val="ru-RU"/>
              </w:rPr>
              <w:t>5</w:t>
            </w:r>
            <w:r w:rsidR="006215CD" w:rsidRPr="006215CD">
              <w:rPr>
                <w:rFonts w:cs="Times New Roman"/>
                <w:szCs w:val="24"/>
                <w:lang w:val="ru-RU"/>
              </w:rPr>
              <w:t> </w:t>
            </w:r>
            <w:r w:rsidRPr="006215CD">
              <w:rPr>
                <w:rStyle w:val="230"/>
                <w:rFonts w:cs="Times New Roman"/>
                <w:szCs w:val="24"/>
                <w:lang w:val="ru-RU"/>
              </w:rPr>
              <w:t>Подтверждено через 6 месяцев</w:t>
            </w:r>
          </w:p>
          <w:p w14:paraId="481B7A8C" w14:textId="693EDB4B" w:rsidR="00383DBC" w:rsidRPr="006215CD" w:rsidRDefault="00383DBC" w:rsidP="00383DBC">
            <w:pPr>
              <w:jc w:val="both"/>
              <w:rPr>
                <w:rStyle w:val="230"/>
                <w:rFonts w:cs="Times New Roman"/>
                <w:szCs w:val="24"/>
                <w:lang w:val="ru-RU"/>
              </w:rPr>
            </w:pPr>
            <w:r w:rsidRPr="006215CD">
              <w:rPr>
                <w:rStyle w:val="230"/>
                <w:rFonts w:cs="Times New Roman"/>
                <w:szCs w:val="24"/>
                <w:vertAlign w:val="superscript"/>
                <w:lang w:val="ru-RU"/>
              </w:rPr>
              <w:t>6</w:t>
            </w:r>
            <w:r w:rsidR="006215CD" w:rsidRPr="006215CD">
              <w:rPr>
                <w:rFonts w:cs="Times New Roman"/>
                <w:szCs w:val="24"/>
                <w:lang w:val="ru-RU"/>
              </w:rPr>
              <w:t> </w:t>
            </w:r>
            <w:r w:rsidRPr="006215CD">
              <w:rPr>
                <w:rStyle w:val="230"/>
                <w:rFonts w:cs="Times New Roman"/>
                <w:i/>
                <w:iCs/>
                <w:szCs w:val="24"/>
                <w:lang w:val="ru-RU"/>
              </w:rPr>
              <w:t>[Номинальное значение p для результатов, не включенных в иерархическое тестирование и не откорректированных для множественности]</w:t>
            </w:r>
          </w:p>
          <w:p w14:paraId="6139366E" w14:textId="78EF615F" w:rsidR="00383DBC" w:rsidRPr="00383DBC" w:rsidRDefault="00383DBC" w:rsidP="006215CD">
            <w:pPr>
              <w:pStyle w:val="211"/>
              <w:tabs>
                <w:tab w:val="left" w:pos="557"/>
              </w:tabs>
              <w:spacing w:line="240" w:lineRule="auto"/>
              <w:ind w:firstLine="0"/>
              <w:rPr>
                <w:rFonts w:ascii="Times New Roman" w:hAnsi="Times New Roman" w:cs="Times New Roman"/>
                <w:sz w:val="24"/>
                <w:szCs w:val="24"/>
                <w:lang w:val="ru-RU"/>
              </w:rPr>
            </w:pPr>
            <w:r w:rsidRPr="006215CD">
              <w:rPr>
                <w:rStyle w:val="230"/>
                <w:rFonts w:ascii="Times New Roman" w:hAnsi="Times New Roman" w:cs="Times New Roman"/>
                <w:color w:val="000000"/>
                <w:szCs w:val="24"/>
                <w:vertAlign w:val="superscript"/>
                <w:lang w:val="ru-RU"/>
              </w:rPr>
              <w:t>7</w:t>
            </w:r>
            <w:r w:rsidR="006215CD" w:rsidRPr="006215CD">
              <w:rPr>
                <w:rFonts w:ascii="Times New Roman" w:hAnsi="Times New Roman" w:cs="Times New Roman"/>
                <w:szCs w:val="24"/>
                <w:lang w:val="ru-RU"/>
              </w:rPr>
              <w:t> </w:t>
            </w:r>
            <w:r w:rsidRPr="006215CD">
              <w:rPr>
                <w:rStyle w:val="230"/>
                <w:rFonts w:ascii="Times New Roman" w:hAnsi="Times New Roman" w:cs="Times New Roman"/>
                <w:color w:val="000000"/>
                <w:szCs w:val="24"/>
                <w:lang w:val="ru-RU"/>
              </w:rPr>
              <w:t>Неподтвержденное значение p; процедура иерархического тестирования завершена до достижения результата</w:t>
            </w:r>
          </w:p>
        </w:tc>
      </w:tr>
    </w:tbl>
    <w:p w14:paraId="3195F375" w14:textId="613045E6" w:rsidR="00383DBC" w:rsidRPr="00383DBC" w:rsidRDefault="00383DBC" w:rsidP="00383DBC">
      <w:pPr>
        <w:jc w:val="both"/>
        <w:rPr>
          <w:rFonts w:cs="Times New Roman"/>
          <w:sz w:val="24"/>
          <w:szCs w:val="24"/>
          <w:lang w:val="ru-RU"/>
        </w:rPr>
      </w:pPr>
      <w:r w:rsidRPr="00383DBC">
        <w:rPr>
          <w:rFonts w:cs="Times New Roman"/>
          <w:sz w:val="24"/>
          <w:szCs w:val="24"/>
          <w:lang w:val="ru-RU"/>
        </w:rPr>
        <w:t>Результаты исследования показали переменное, но последовательное снижение риска прогрессирования инва</w:t>
      </w:r>
      <w:r w:rsidR="006215CD">
        <w:rPr>
          <w:rFonts w:cs="Times New Roman"/>
          <w:sz w:val="24"/>
          <w:szCs w:val="24"/>
          <w:lang w:val="ru-RU"/>
        </w:rPr>
        <w:t xml:space="preserve">лидности через 3 и 6 месяцев </w:t>
      </w:r>
      <w:r w:rsidRPr="00383DBC">
        <w:rPr>
          <w:rFonts w:cs="Times New Roman"/>
          <w:sz w:val="24"/>
          <w:szCs w:val="24"/>
          <w:lang w:val="ru-RU"/>
        </w:rPr>
        <w:t>на фоне лечения сипонимодом по сравнению с плацебо в подгруппах, определённых по полу, возрасту, активности рецидивов до начала исследования, базовой МРТ-активности заболевания, продолжительности болезни и уровням инвалидности на начальном этапе.</w:t>
      </w:r>
    </w:p>
    <w:p w14:paraId="60A99FC0" w14:textId="77777777" w:rsidR="00383DBC" w:rsidRPr="00383DBC" w:rsidRDefault="00383DBC" w:rsidP="00383DBC">
      <w:pPr>
        <w:jc w:val="both"/>
        <w:rPr>
          <w:rFonts w:cs="Times New Roman"/>
          <w:sz w:val="24"/>
          <w:szCs w:val="24"/>
          <w:lang w:val="ru-RU"/>
        </w:rPr>
      </w:pPr>
      <w:r w:rsidRPr="00383DBC">
        <w:rPr>
          <w:rFonts w:cs="Times New Roman"/>
          <w:sz w:val="24"/>
          <w:szCs w:val="24"/>
          <w:lang w:val="ru-RU"/>
        </w:rPr>
        <w:t>В подгруппе пациентов (n=779) с активной болезнью (определённой как пациенты с рецидивами за 2 года до начала исследования и/или наличием ГД-усиленных Т1-очагов на начальной МРТ) характеристики на исходном этапе были схожи с характеристиками общей популяции. Медианный возраст составил 47 лет, медианный срок заболевания — 15 лет, а медианный балл по шкале EDSS на начальном этапе — 6.0.</w:t>
      </w:r>
    </w:p>
    <w:p w14:paraId="66627731" w14:textId="42296A7A" w:rsidR="00383DBC" w:rsidRDefault="00383DBC" w:rsidP="00383DBC">
      <w:pPr>
        <w:jc w:val="both"/>
        <w:rPr>
          <w:rFonts w:cs="Times New Roman"/>
          <w:sz w:val="24"/>
          <w:szCs w:val="24"/>
          <w:lang w:val="ru-RU"/>
        </w:rPr>
      </w:pPr>
      <w:r w:rsidRPr="00383DBC">
        <w:rPr>
          <w:rFonts w:cs="Times New Roman"/>
          <w:sz w:val="24"/>
          <w:szCs w:val="24"/>
          <w:lang w:val="ru-RU"/>
        </w:rPr>
        <w:t>Время до наступления прогрессирования инвалидности через 3 месяца и 6 месяцев было значительно отложено у пациентов, получавших лечение сипонимодом с активной болезнью, на 31</w:t>
      </w:r>
      <w:r w:rsidR="00482FB1">
        <w:rPr>
          <w:rFonts w:cs="Times New Roman"/>
          <w:sz w:val="24"/>
          <w:szCs w:val="24"/>
          <w:lang w:val="ru-RU"/>
        </w:rPr>
        <w:t> </w:t>
      </w:r>
      <w:r w:rsidRPr="00383DBC">
        <w:rPr>
          <w:rFonts w:cs="Times New Roman"/>
          <w:sz w:val="24"/>
          <w:szCs w:val="24"/>
          <w:lang w:val="ru-RU"/>
        </w:rPr>
        <w:t>% по сравнению с плацебо (отношение рисков [HR] 0.69; 95</w:t>
      </w:r>
      <w:r w:rsidR="00482FB1">
        <w:rPr>
          <w:rFonts w:cs="Times New Roman"/>
          <w:sz w:val="24"/>
          <w:szCs w:val="24"/>
          <w:lang w:val="ru-RU"/>
        </w:rPr>
        <w:t> </w:t>
      </w:r>
      <w:r w:rsidRPr="00383DBC">
        <w:rPr>
          <w:rFonts w:cs="Times New Roman"/>
          <w:sz w:val="24"/>
          <w:szCs w:val="24"/>
          <w:lang w:val="ru-RU"/>
        </w:rPr>
        <w:t>% ДИ: 0.53, 0.91) и на 37</w:t>
      </w:r>
      <w:r w:rsidR="00482FB1">
        <w:rPr>
          <w:rFonts w:cs="Times New Roman"/>
          <w:sz w:val="24"/>
          <w:szCs w:val="24"/>
          <w:lang w:val="ru-RU"/>
        </w:rPr>
        <w:t> </w:t>
      </w:r>
      <w:r w:rsidRPr="00383DBC">
        <w:rPr>
          <w:rFonts w:cs="Times New Roman"/>
          <w:sz w:val="24"/>
          <w:szCs w:val="24"/>
          <w:lang w:val="ru-RU"/>
        </w:rPr>
        <w:t>% по сравнению с плацебо (отношение рисков HR 0.63; 95</w:t>
      </w:r>
      <w:r w:rsidR="00482FB1">
        <w:rPr>
          <w:rFonts w:cs="Times New Roman"/>
          <w:sz w:val="24"/>
          <w:szCs w:val="24"/>
          <w:lang w:val="ru-RU"/>
        </w:rPr>
        <w:t> </w:t>
      </w:r>
      <w:r w:rsidRPr="00383DBC">
        <w:rPr>
          <w:rFonts w:cs="Times New Roman"/>
          <w:sz w:val="24"/>
          <w:szCs w:val="24"/>
          <w:lang w:val="ru-RU"/>
        </w:rPr>
        <w:t>% ДИ: 0.47, 0.86), соответственно. Годовая частота рецидивов (ARR) (подтвержденные рецидивы) была снижена на 46</w:t>
      </w:r>
      <w:r w:rsidR="00482FB1">
        <w:rPr>
          <w:rFonts w:cs="Times New Roman"/>
          <w:sz w:val="24"/>
          <w:szCs w:val="24"/>
          <w:lang w:val="ru-RU"/>
        </w:rPr>
        <w:t> </w:t>
      </w:r>
      <w:r w:rsidRPr="00383DBC">
        <w:rPr>
          <w:rFonts w:cs="Times New Roman"/>
          <w:sz w:val="24"/>
          <w:szCs w:val="24"/>
          <w:lang w:val="ru-RU"/>
        </w:rPr>
        <w:t>% (отношение ARR 0.54; 95</w:t>
      </w:r>
      <w:r w:rsidR="00482FB1">
        <w:rPr>
          <w:rFonts w:cs="Times New Roman"/>
          <w:sz w:val="24"/>
          <w:szCs w:val="24"/>
          <w:lang w:val="ru-RU"/>
        </w:rPr>
        <w:t> </w:t>
      </w:r>
      <w:r w:rsidRPr="00383DBC">
        <w:rPr>
          <w:rFonts w:cs="Times New Roman"/>
          <w:sz w:val="24"/>
          <w:szCs w:val="24"/>
          <w:lang w:val="ru-RU"/>
        </w:rPr>
        <w:t>% ДИ: 0.39, 0.77) по сравнению с плацебо. Относительное снижение частоты кумулятивного числа ГД-усиленных Т1-изменений за 24 месяца составило 85</w:t>
      </w:r>
      <w:r w:rsidR="00482FB1">
        <w:rPr>
          <w:rFonts w:cs="Times New Roman"/>
          <w:sz w:val="24"/>
          <w:szCs w:val="24"/>
          <w:lang w:val="ru-RU"/>
        </w:rPr>
        <w:t> </w:t>
      </w:r>
      <w:r w:rsidRPr="00383DBC">
        <w:rPr>
          <w:rFonts w:cs="Times New Roman"/>
          <w:sz w:val="24"/>
          <w:szCs w:val="24"/>
          <w:lang w:val="ru-RU"/>
        </w:rPr>
        <w:t>% (отношение частоты 0.155; 95</w:t>
      </w:r>
      <w:r w:rsidR="00D50E7D">
        <w:rPr>
          <w:rFonts w:cs="Times New Roman"/>
          <w:sz w:val="24"/>
          <w:szCs w:val="24"/>
          <w:lang w:val="ru-RU"/>
        </w:rPr>
        <w:t> </w:t>
      </w:r>
      <w:r w:rsidRPr="00383DBC">
        <w:rPr>
          <w:rFonts w:cs="Times New Roman"/>
          <w:sz w:val="24"/>
          <w:szCs w:val="24"/>
          <w:lang w:val="ru-RU"/>
        </w:rPr>
        <w:t>% ДИ: 0.104, 0.231) по сравнению с плацебо. Разница в изменении объёма поражений по T2 и в изменении процента объёма мозга (среднее за 12-й и 24-й месяцы) по сравнению с плацебо составила -1 163 мм³ (95</w:t>
      </w:r>
      <w:r w:rsidR="00D50E7D">
        <w:rPr>
          <w:b/>
          <w:lang w:val="ru-RU"/>
        </w:rPr>
        <w:t> </w:t>
      </w:r>
      <w:r w:rsidRPr="00383DBC">
        <w:rPr>
          <w:rFonts w:cs="Times New Roman"/>
          <w:sz w:val="24"/>
          <w:szCs w:val="24"/>
          <w:lang w:val="ru-RU"/>
        </w:rPr>
        <w:t>% ДИ: -1 484, -843 мм³) и 0.141</w:t>
      </w:r>
      <w:r w:rsidR="00D50E7D">
        <w:rPr>
          <w:rFonts w:cs="Times New Roman"/>
          <w:sz w:val="24"/>
          <w:szCs w:val="24"/>
          <w:lang w:val="ru-RU"/>
        </w:rPr>
        <w:t> </w:t>
      </w:r>
      <w:r w:rsidRPr="00383DBC">
        <w:rPr>
          <w:rFonts w:cs="Times New Roman"/>
          <w:sz w:val="24"/>
          <w:szCs w:val="24"/>
          <w:lang w:val="ru-RU"/>
        </w:rPr>
        <w:t>% (95</w:t>
      </w:r>
      <w:r w:rsidR="00D50E7D">
        <w:rPr>
          <w:rFonts w:cs="Times New Roman"/>
          <w:sz w:val="24"/>
          <w:szCs w:val="24"/>
          <w:lang w:val="ru-RU"/>
        </w:rPr>
        <w:t> </w:t>
      </w:r>
      <w:r w:rsidRPr="00383DBC">
        <w:rPr>
          <w:rFonts w:cs="Times New Roman"/>
          <w:sz w:val="24"/>
          <w:szCs w:val="24"/>
          <w:lang w:val="ru-RU"/>
        </w:rPr>
        <w:t>% ДИ: 0.020, 0.261</w:t>
      </w:r>
      <w:r w:rsidR="00D50E7D">
        <w:rPr>
          <w:rFonts w:cs="Times New Roman"/>
          <w:sz w:val="24"/>
          <w:szCs w:val="24"/>
          <w:lang w:val="ru-RU"/>
        </w:rPr>
        <w:t> </w:t>
      </w:r>
      <w:r w:rsidRPr="00383DBC">
        <w:rPr>
          <w:rFonts w:cs="Times New Roman"/>
          <w:sz w:val="24"/>
          <w:szCs w:val="24"/>
          <w:lang w:val="ru-RU"/>
        </w:rPr>
        <w:t>%), соответственно.</w:t>
      </w:r>
    </w:p>
    <w:p w14:paraId="49E6B3BE" w14:textId="77777777" w:rsidR="00D50E7D" w:rsidRPr="00383DBC" w:rsidRDefault="00D50E7D" w:rsidP="00383DBC">
      <w:pPr>
        <w:jc w:val="both"/>
        <w:rPr>
          <w:rFonts w:cs="Times New Roman"/>
          <w:sz w:val="24"/>
          <w:szCs w:val="24"/>
          <w:lang w:val="ru-RU"/>
        </w:rPr>
      </w:pPr>
    </w:p>
    <w:p w14:paraId="6A8388F6" w14:textId="77777777" w:rsidR="00383DBC" w:rsidRPr="00383DBC" w:rsidRDefault="00383DBC" w:rsidP="00383DBC">
      <w:pPr>
        <w:jc w:val="both"/>
        <w:rPr>
          <w:rFonts w:cs="Times New Roman"/>
          <w:b/>
          <w:bCs/>
          <w:sz w:val="24"/>
          <w:szCs w:val="24"/>
          <w:lang w:val="ru-RU"/>
        </w:rPr>
      </w:pPr>
      <w:r w:rsidRPr="00383DBC">
        <w:rPr>
          <w:rFonts w:cs="Times New Roman"/>
          <w:b/>
          <w:bCs/>
          <w:sz w:val="24"/>
          <w:szCs w:val="24"/>
          <w:lang w:val="ru-RU"/>
        </w:rPr>
        <w:t>Рисунок 2: Пациенты с 3- и 6-месячным подтвержденным прогрессированием инвалидности, основанным на шкале EDSS, согласно кривым Каплана-Мейера – Подгруппа с активным вторичным прогрессирующим рассеянным склерозом (полный набор данных, исследование A2304)</w:t>
      </w:r>
    </w:p>
    <w:p w14:paraId="532A305D" w14:textId="79D36158" w:rsidR="00383DBC" w:rsidRPr="00383DBC" w:rsidRDefault="00383DBC" w:rsidP="00383DBC">
      <w:pPr>
        <w:jc w:val="both"/>
        <w:rPr>
          <w:rFonts w:cs="Times New Roman"/>
          <w:sz w:val="24"/>
          <w:szCs w:val="24"/>
          <w:lang w:val="ru-RU"/>
        </w:rPr>
      </w:pPr>
      <w:r w:rsidRPr="00383DBC">
        <w:rPr>
          <w:rFonts w:cs="Times New Roman"/>
          <w:noProof/>
          <w:sz w:val="24"/>
          <w:szCs w:val="24"/>
          <w:lang w:val="ru-RU" w:eastAsia="ru-RU"/>
        </w:rPr>
        <w:lastRenderedPageBreak/>
        <mc:AlternateContent>
          <mc:Choice Requires="wps">
            <w:drawing>
              <wp:anchor distT="0" distB="0" distL="114300" distR="114300" simplePos="0" relativeHeight="251674624" behindDoc="0" locked="0" layoutInCell="1" allowOverlap="1" wp14:anchorId="462D115A" wp14:editId="797E3565">
                <wp:simplePos x="0" y="0"/>
                <wp:positionH relativeFrom="column">
                  <wp:posOffset>4114800</wp:posOffset>
                </wp:positionH>
                <wp:positionV relativeFrom="paragraph">
                  <wp:posOffset>2857500</wp:posOffset>
                </wp:positionV>
                <wp:extent cx="1143000" cy="228600"/>
                <wp:effectExtent l="0" t="0" r="3810" b="381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E457AD" w14:textId="77777777" w:rsidR="00FE7873" w:rsidRPr="002A3BF7" w:rsidRDefault="00FE7873" w:rsidP="00383DBC">
                            <w:pPr>
                              <w:rPr>
                                <w:sz w:val="16"/>
                                <w:szCs w:val="16"/>
                                <w:lang w:val="ru-RU"/>
                              </w:rPr>
                            </w:pPr>
                            <w:r>
                              <w:rPr>
                                <w:sz w:val="16"/>
                                <w:szCs w:val="16"/>
                                <w:lang w:val="ru-RU"/>
                              </w:rPr>
                              <w:t>Месяц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2D115A" id="Прямоугольник 15" o:spid="_x0000_s1034" style="position:absolute;left:0;text-align:left;margin-left:324pt;margin-top:225pt;width:90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" stroked="f">
                <v:textbox>
                  <w:txbxContent>
                    <w:p w14:paraId="1FE457AD" w14:textId="77777777" w:rsidR="00FE7873" w:rsidRPr="002A3BF7" w:rsidRDefault="00FE7873" w:rsidP="00383DBC">
                      <w:pPr>
                        <w:rPr>
                          <w:sz w:val="16"/>
                          <w:szCs w:val="16"/>
                          <w:lang w:val="ru-RU"/>
                        </w:rPr>
                      </w:pPr>
                      <w:r>
                        <w:rPr>
                          <w:sz w:val="16"/>
                          <w:szCs w:val="16"/>
                          <w:lang w:val="ru-RU"/>
                        </w:rPr>
                        <w:t>Месяц исследования</w:t>
                      </w:r>
                    </w:p>
                  </w:txbxContent>
                </v:textbox>
              </v:rect>
            </w:pict>
          </mc:Fallback>
        </mc:AlternateContent>
      </w:r>
      <w:r w:rsidRPr="00383DBC">
        <w:rPr>
          <w:rFonts w:cs="Times New Roman"/>
          <w:noProof/>
          <w:sz w:val="24"/>
          <w:szCs w:val="24"/>
          <w:lang w:val="ru-RU" w:eastAsia="ru-RU"/>
        </w:rPr>
        <mc:AlternateContent>
          <mc:Choice Requires="wps">
            <w:drawing>
              <wp:anchor distT="0" distB="0" distL="114300" distR="114300" simplePos="0" relativeHeight="251673600" behindDoc="0" locked="0" layoutInCell="1" allowOverlap="1" wp14:anchorId="49FF83AF" wp14:editId="2B175A20">
                <wp:simplePos x="0" y="0"/>
                <wp:positionH relativeFrom="column">
                  <wp:posOffset>1219200</wp:posOffset>
                </wp:positionH>
                <wp:positionV relativeFrom="paragraph">
                  <wp:posOffset>2857500</wp:posOffset>
                </wp:positionV>
                <wp:extent cx="1143000" cy="228600"/>
                <wp:effectExtent l="0" t="0" r="3810" b="381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249A1F" w14:textId="77777777" w:rsidR="00FE7873" w:rsidRPr="002A3BF7" w:rsidRDefault="00FE7873" w:rsidP="00383DBC">
                            <w:pPr>
                              <w:rPr>
                                <w:sz w:val="16"/>
                                <w:szCs w:val="16"/>
                                <w:lang w:val="ru-RU"/>
                              </w:rPr>
                            </w:pPr>
                            <w:r>
                              <w:rPr>
                                <w:sz w:val="16"/>
                                <w:szCs w:val="16"/>
                                <w:lang w:val="ru-RU"/>
                              </w:rPr>
                              <w:t>Месяц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FF83AF" id="Прямоугольник 14" o:spid="_x0000_s1035" style="position:absolute;left:0;text-align:left;margin-left:96pt;margin-top:225pt;width:90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" stroked="f">
                <v:textbox>
                  <w:txbxContent>
                    <w:p w14:paraId="40249A1F" w14:textId="77777777" w:rsidR="00FE7873" w:rsidRPr="002A3BF7" w:rsidRDefault="00FE7873" w:rsidP="00383DBC">
                      <w:pPr>
                        <w:rPr>
                          <w:sz w:val="16"/>
                          <w:szCs w:val="16"/>
                          <w:lang w:val="ru-RU"/>
                        </w:rPr>
                      </w:pPr>
                      <w:r>
                        <w:rPr>
                          <w:sz w:val="16"/>
                          <w:szCs w:val="16"/>
                          <w:lang w:val="ru-RU"/>
                        </w:rPr>
                        <w:t>Месяц исследования</w:t>
                      </w:r>
                    </w:p>
                  </w:txbxContent>
                </v:textbox>
              </v:rect>
            </w:pict>
          </mc:Fallback>
        </mc:AlternateContent>
      </w:r>
      <w:r w:rsidRPr="00383DBC">
        <w:rPr>
          <w:rFonts w:cs="Times New Roman"/>
          <w:noProof/>
          <w:sz w:val="24"/>
          <w:szCs w:val="24"/>
          <w:lang w:val="ru-RU" w:eastAsia="ru-RU"/>
        </w:rPr>
        <mc:AlternateContent>
          <mc:Choice Requires="wps">
            <w:drawing>
              <wp:anchor distT="0" distB="0" distL="114300" distR="114300" simplePos="0" relativeHeight="251672576" behindDoc="0" locked="0" layoutInCell="1" allowOverlap="1" wp14:anchorId="6A6BB02E" wp14:editId="4D4780A7">
                <wp:simplePos x="0" y="0"/>
                <wp:positionH relativeFrom="column">
                  <wp:posOffset>3810000</wp:posOffset>
                </wp:positionH>
                <wp:positionV relativeFrom="paragraph">
                  <wp:posOffset>2057400</wp:posOffset>
                </wp:positionV>
                <wp:extent cx="1828800" cy="457200"/>
                <wp:effectExtent l="0" t="0" r="3810" b="381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1CC1FE" w14:textId="77777777" w:rsidR="00FE7873" w:rsidRPr="00383DBC" w:rsidRDefault="00FE7873" w:rsidP="00383DBC">
                            <w:pPr>
                              <w:rPr>
                                <w:sz w:val="16"/>
                                <w:szCs w:val="16"/>
                                <w:lang w:val="ru-RU"/>
                              </w:rPr>
                            </w:pPr>
                            <w:r>
                              <w:rPr>
                                <w:sz w:val="16"/>
                                <w:szCs w:val="16"/>
                                <w:lang w:val="ru-RU"/>
                              </w:rPr>
                              <w:t>Соотношение</w:t>
                            </w:r>
                            <w:r w:rsidRPr="00383DBC">
                              <w:rPr>
                                <w:sz w:val="16"/>
                                <w:szCs w:val="16"/>
                                <w:lang w:val="ru-RU"/>
                              </w:rPr>
                              <w:t xml:space="preserve"> риска: 0,</w:t>
                            </w:r>
                            <w:r>
                              <w:rPr>
                                <w:sz w:val="16"/>
                                <w:szCs w:val="16"/>
                                <w:lang w:val="ru-RU"/>
                              </w:rPr>
                              <w:t xml:space="preserve">63 </w:t>
                            </w:r>
                            <w:r w:rsidRPr="00383DBC">
                              <w:rPr>
                                <w:sz w:val="16"/>
                                <w:szCs w:val="16"/>
                                <w:lang w:val="ru-RU"/>
                              </w:rPr>
                              <w:t xml:space="preserve">(95% ДИ: </w:t>
                            </w:r>
                            <w:r>
                              <w:rPr>
                                <w:sz w:val="16"/>
                                <w:szCs w:val="16"/>
                                <w:lang w:val="ru-RU"/>
                              </w:rPr>
                              <w:t>0,47, 0,86</w:t>
                            </w:r>
                            <w:r w:rsidRPr="00383DBC">
                              <w:rPr>
                                <w:sz w:val="16"/>
                                <w:szCs w:val="16"/>
                                <w:lang w:val="ru-RU"/>
                              </w:rPr>
                              <w:t xml:space="preserve">); снижение риска: </w:t>
                            </w:r>
                            <w:r>
                              <w:rPr>
                                <w:sz w:val="16"/>
                                <w:szCs w:val="16"/>
                                <w:lang w:val="ru-RU"/>
                              </w:rPr>
                              <w:t>37</w:t>
                            </w:r>
                            <w:r w:rsidRPr="00383DBC">
                              <w:rPr>
                                <w:sz w:val="16"/>
                                <w:szCs w:val="16"/>
                                <w:lang w:val="ru-RU"/>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BB02E" id="Прямоугольник 13" o:spid="_x0000_s1036" style="position:absolute;left:0;text-align:left;margin-left:300pt;margin-top:162pt;width:2in;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" stroked="f">
                <v:textbox>
                  <w:txbxContent>
                    <w:p w14:paraId="4F1CC1FE" w14:textId="77777777" w:rsidR="00FE7873" w:rsidRPr="00383DBC" w:rsidRDefault="00FE7873" w:rsidP="00383DBC">
                      <w:pPr>
                        <w:rPr>
                          <w:sz w:val="16"/>
                          <w:szCs w:val="16"/>
                          <w:lang w:val="ru-RU"/>
                        </w:rPr>
                      </w:pPr>
                      <w:r>
                        <w:rPr>
                          <w:sz w:val="16"/>
                          <w:szCs w:val="16"/>
                          <w:lang w:val="ru-RU"/>
                        </w:rPr>
                        <w:t>Соотношение</w:t>
                      </w:r>
                      <w:r w:rsidRPr="00383DBC">
                        <w:rPr>
                          <w:sz w:val="16"/>
                          <w:szCs w:val="16"/>
                          <w:lang w:val="ru-RU"/>
                        </w:rPr>
                        <w:t xml:space="preserve"> риска: 0,</w:t>
                      </w:r>
                      <w:r>
                        <w:rPr>
                          <w:sz w:val="16"/>
                          <w:szCs w:val="16"/>
                          <w:lang w:val="ru-RU"/>
                        </w:rPr>
                        <w:t xml:space="preserve">63 </w:t>
                      </w:r>
                      <w:r w:rsidRPr="00383DBC">
                        <w:rPr>
                          <w:sz w:val="16"/>
                          <w:szCs w:val="16"/>
                          <w:lang w:val="ru-RU"/>
                        </w:rPr>
                        <w:t xml:space="preserve">(95% ДИ: </w:t>
                      </w:r>
                      <w:r>
                        <w:rPr>
                          <w:sz w:val="16"/>
                          <w:szCs w:val="16"/>
                          <w:lang w:val="ru-RU"/>
                        </w:rPr>
                        <w:t>0,47, 0,86</w:t>
                      </w:r>
                      <w:r w:rsidRPr="00383DBC">
                        <w:rPr>
                          <w:sz w:val="16"/>
                          <w:szCs w:val="16"/>
                          <w:lang w:val="ru-RU"/>
                        </w:rPr>
                        <w:t xml:space="preserve">); снижение риска: </w:t>
                      </w:r>
                      <w:r>
                        <w:rPr>
                          <w:sz w:val="16"/>
                          <w:szCs w:val="16"/>
                          <w:lang w:val="ru-RU"/>
                        </w:rPr>
                        <w:t>37</w:t>
                      </w:r>
                      <w:r w:rsidRPr="00383DBC">
                        <w:rPr>
                          <w:sz w:val="16"/>
                          <w:szCs w:val="16"/>
                          <w:lang w:val="ru-RU"/>
                        </w:rPr>
                        <w:t>%</w:t>
                      </w:r>
                    </w:p>
                  </w:txbxContent>
                </v:textbox>
              </v:rect>
            </w:pict>
          </mc:Fallback>
        </mc:AlternateContent>
      </w:r>
      <w:r w:rsidRPr="00383DBC">
        <w:rPr>
          <w:rFonts w:cs="Times New Roman"/>
          <w:noProof/>
          <w:sz w:val="24"/>
          <w:szCs w:val="24"/>
          <w:lang w:val="ru-RU" w:eastAsia="ru-RU"/>
        </w:rPr>
        <mc:AlternateContent>
          <mc:Choice Requires="wps">
            <w:drawing>
              <wp:anchor distT="0" distB="0" distL="114300" distR="114300" simplePos="0" relativeHeight="251671552" behindDoc="0" locked="0" layoutInCell="1" allowOverlap="1" wp14:anchorId="4052CC39" wp14:editId="18EAAE23">
                <wp:simplePos x="0" y="0"/>
                <wp:positionH relativeFrom="column">
                  <wp:posOffset>914400</wp:posOffset>
                </wp:positionH>
                <wp:positionV relativeFrom="paragraph">
                  <wp:posOffset>2057400</wp:posOffset>
                </wp:positionV>
                <wp:extent cx="1828800" cy="457200"/>
                <wp:effectExtent l="0" t="0" r="3810" b="381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3A6244" w14:textId="77777777" w:rsidR="00FE7873" w:rsidRPr="00383DBC" w:rsidRDefault="00FE7873" w:rsidP="00383DBC">
                            <w:pPr>
                              <w:rPr>
                                <w:sz w:val="16"/>
                                <w:szCs w:val="16"/>
                                <w:lang w:val="ru-RU"/>
                              </w:rPr>
                            </w:pPr>
                            <w:r>
                              <w:rPr>
                                <w:sz w:val="16"/>
                                <w:szCs w:val="16"/>
                                <w:lang w:val="ru-RU"/>
                              </w:rPr>
                              <w:t>Соотношение</w:t>
                            </w:r>
                            <w:r w:rsidRPr="00383DBC">
                              <w:rPr>
                                <w:sz w:val="16"/>
                                <w:szCs w:val="16"/>
                                <w:lang w:val="ru-RU"/>
                              </w:rPr>
                              <w:t xml:space="preserve"> риска: 0,</w:t>
                            </w:r>
                            <w:r>
                              <w:rPr>
                                <w:sz w:val="16"/>
                                <w:szCs w:val="16"/>
                                <w:lang w:val="ru-RU"/>
                              </w:rPr>
                              <w:t>6</w:t>
                            </w:r>
                            <w:r w:rsidRPr="00383DBC">
                              <w:rPr>
                                <w:sz w:val="16"/>
                                <w:szCs w:val="16"/>
                                <w:lang w:val="ru-RU"/>
                              </w:rPr>
                              <w:t>9</w:t>
                            </w:r>
                            <w:r>
                              <w:rPr>
                                <w:sz w:val="16"/>
                                <w:szCs w:val="16"/>
                                <w:lang w:val="ru-RU"/>
                              </w:rPr>
                              <w:t xml:space="preserve"> </w:t>
                            </w:r>
                            <w:r w:rsidRPr="00383DBC">
                              <w:rPr>
                                <w:sz w:val="16"/>
                                <w:szCs w:val="16"/>
                                <w:lang w:val="ru-RU"/>
                              </w:rPr>
                              <w:t>(95% ДИ: 0,</w:t>
                            </w:r>
                            <w:r>
                              <w:rPr>
                                <w:sz w:val="16"/>
                                <w:szCs w:val="16"/>
                                <w:lang w:val="ru-RU"/>
                              </w:rPr>
                              <w:t>53, 0,91</w:t>
                            </w:r>
                            <w:r w:rsidRPr="00383DBC">
                              <w:rPr>
                                <w:sz w:val="16"/>
                                <w:szCs w:val="16"/>
                                <w:lang w:val="ru-RU"/>
                              </w:rPr>
                              <w:t xml:space="preserve">); снижение риска: </w:t>
                            </w:r>
                            <w:r>
                              <w:rPr>
                                <w:sz w:val="16"/>
                                <w:szCs w:val="16"/>
                                <w:lang w:val="ru-RU"/>
                              </w:rPr>
                              <w:t>3</w:t>
                            </w:r>
                            <w:r w:rsidRPr="00383DBC">
                              <w:rPr>
                                <w:sz w:val="16"/>
                                <w:szCs w:val="16"/>
                                <w:lang w:val="ru-RU"/>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2CC39" id="Прямоугольник 12" o:spid="_x0000_s1037" style="position:absolute;left:0;text-align:left;margin-left:1in;margin-top:162pt;width:2in;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" stroked="f">
                <v:textbox>
                  <w:txbxContent>
                    <w:p w14:paraId="613A6244" w14:textId="77777777" w:rsidR="00FE7873" w:rsidRPr="00383DBC" w:rsidRDefault="00FE7873" w:rsidP="00383DBC">
                      <w:pPr>
                        <w:rPr>
                          <w:sz w:val="16"/>
                          <w:szCs w:val="16"/>
                          <w:lang w:val="ru-RU"/>
                        </w:rPr>
                      </w:pPr>
                      <w:r>
                        <w:rPr>
                          <w:sz w:val="16"/>
                          <w:szCs w:val="16"/>
                          <w:lang w:val="ru-RU"/>
                        </w:rPr>
                        <w:t>Соотношение</w:t>
                      </w:r>
                      <w:r w:rsidRPr="00383DBC">
                        <w:rPr>
                          <w:sz w:val="16"/>
                          <w:szCs w:val="16"/>
                          <w:lang w:val="ru-RU"/>
                        </w:rPr>
                        <w:t xml:space="preserve"> риска: 0,</w:t>
                      </w:r>
                      <w:r>
                        <w:rPr>
                          <w:sz w:val="16"/>
                          <w:szCs w:val="16"/>
                          <w:lang w:val="ru-RU"/>
                        </w:rPr>
                        <w:t>6</w:t>
                      </w:r>
                      <w:r w:rsidRPr="00383DBC">
                        <w:rPr>
                          <w:sz w:val="16"/>
                          <w:szCs w:val="16"/>
                          <w:lang w:val="ru-RU"/>
                        </w:rPr>
                        <w:t>9</w:t>
                      </w:r>
                      <w:r>
                        <w:rPr>
                          <w:sz w:val="16"/>
                          <w:szCs w:val="16"/>
                          <w:lang w:val="ru-RU"/>
                        </w:rPr>
                        <w:t xml:space="preserve"> </w:t>
                      </w:r>
                      <w:r w:rsidRPr="00383DBC">
                        <w:rPr>
                          <w:sz w:val="16"/>
                          <w:szCs w:val="16"/>
                          <w:lang w:val="ru-RU"/>
                        </w:rPr>
                        <w:t>(95% ДИ: 0,</w:t>
                      </w:r>
                      <w:r>
                        <w:rPr>
                          <w:sz w:val="16"/>
                          <w:szCs w:val="16"/>
                          <w:lang w:val="ru-RU"/>
                        </w:rPr>
                        <w:t>53, 0,91</w:t>
                      </w:r>
                      <w:r w:rsidRPr="00383DBC">
                        <w:rPr>
                          <w:sz w:val="16"/>
                          <w:szCs w:val="16"/>
                          <w:lang w:val="ru-RU"/>
                        </w:rPr>
                        <w:t xml:space="preserve">); снижение риска: </w:t>
                      </w:r>
                      <w:r>
                        <w:rPr>
                          <w:sz w:val="16"/>
                          <w:szCs w:val="16"/>
                          <w:lang w:val="ru-RU"/>
                        </w:rPr>
                        <w:t>3</w:t>
                      </w:r>
                      <w:r w:rsidRPr="00383DBC">
                        <w:rPr>
                          <w:sz w:val="16"/>
                          <w:szCs w:val="16"/>
                          <w:lang w:val="ru-RU"/>
                        </w:rPr>
                        <w:t>1%</w:t>
                      </w:r>
                    </w:p>
                  </w:txbxContent>
                </v:textbox>
              </v:rect>
            </w:pict>
          </mc:Fallback>
        </mc:AlternateContent>
      </w:r>
      <w:r w:rsidRPr="00383DBC">
        <w:rPr>
          <w:rFonts w:cs="Times New Roman"/>
          <w:noProof/>
          <w:sz w:val="24"/>
          <w:szCs w:val="24"/>
          <w:lang w:val="ru-RU" w:eastAsia="ru-RU"/>
        </w:rPr>
        <mc:AlternateContent>
          <mc:Choice Requires="wps">
            <w:drawing>
              <wp:anchor distT="0" distB="0" distL="114300" distR="114300" simplePos="0" relativeHeight="251670528" behindDoc="0" locked="0" layoutInCell="1" allowOverlap="1" wp14:anchorId="437175AE" wp14:editId="75780F72">
                <wp:simplePos x="0" y="0"/>
                <wp:positionH relativeFrom="column">
                  <wp:posOffset>2819400</wp:posOffset>
                </wp:positionH>
                <wp:positionV relativeFrom="paragraph">
                  <wp:posOffset>800100</wp:posOffset>
                </wp:positionV>
                <wp:extent cx="533400" cy="1943100"/>
                <wp:effectExtent l="0" t="0" r="3810" b="381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1943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tblGrid>
                            <w:tr w:rsidR="00FE7873" w:rsidRPr="005818B4" w14:paraId="471CD01B" w14:textId="77777777">
                              <w:trPr>
                                <w:cantSplit/>
                                <w:trHeight w:val="2695"/>
                              </w:trPr>
                              <w:tc>
                                <w:tcPr>
                                  <w:tcW w:w="708" w:type="dxa"/>
                                  <w:tcBorders>
                                    <w:top w:val="nil"/>
                                    <w:left w:val="nil"/>
                                    <w:bottom w:val="nil"/>
                                    <w:right w:val="nil"/>
                                  </w:tcBorders>
                                  <w:shd w:val="clear" w:color="auto" w:fill="auto"/>
                                  <w:textDirection w:val="btLr"/>
                                </w:tcPr>
                                <w:p w14:paraId="71FE62AF" w14:textId="77777777" w:rsidR="00FE7873" w:rsidRPr="00383DBC" w:rsidRDefault="00FE7873">
                                  <w:pPr>
                                    <w:ind w:left="113" w:right="113"/>
                                    <w:jc w:val="center"/>
                                    <w:rPr>
                                      <w:lang w:val="ru-RU"/>
                                    </w:rPr>
                                  </w:pPr>
                                  <w:r>
                                    <w:rPr>
                                      <w:sz w:val="16"/>
                                      <w:szCs w:val="16"/>
                                      <w:lang w:val="ru-RU"/>
                                    </w:rPr>
                                    <w:t>Процент участников с 6-месячным подтвержденным прогрессированием инвалидности</w:t>
                                  </w:r>
                                </w:p>
                              </w:tc>
                            </w:tr>
                          </w:tbl>
                          <w:p w14:paraId="37687174" w14:textId="77777777" w:rsidR="00FE7873" w:rsidRPr="00383DBC" w:rsidRDefault="00FE7873" w:rsidP="00383DBC">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7175AE" id="Прямоугольник 11" o:spid="_x0000_s1038" style="position:absolute;left:0;text-align:left;margin-left:222pt;margin-top:63pt;width:42pt;height:1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tblGrid>
                      <w:tr w:rsidR="00FE7873" w:rsidRPr="005818B4" w14:paraId="471CD01B" w14:textId="77777777">
                        <w:trPr>
                          <w:cantSplit/>
                          <w:trHeight w:val="2695"/>
                        </w:trPr>
                        <w:tc>
                          <w:tcPr>
                            <w:tcW w:w="708" w:type="dxa"/>
                            <w:tcBorders>
                              <w:top w:val="nil"/>
                              <w:left w:val="nil"/>
                              <w:bottom w:val="nil"/>
                              <w:right w:val="nil"/>
                            </w:tcBorders>
                            <w:shd w:val="clear" w:color="auto" w:fill="auto"/>
                            <w:textDirection w:val="btLr"/>
                          </w:tcPr>
                          <w:p w14:paraId="71FE62AF" w14:textId="77777777" w:rsidR="00FE7873" w:rsidRPr="00383DBC" w:rsidRDefault="00FE7873">
                            <w:pPr>
                              <w:ind w:left="113" w:right="113"/>
                              <w:jc w:val="center"/>
                              <w:rPr>
                                <w:lang w:val="ru-RU"/>
                              </w:rPr>
                            </w:pPr>
                            <w:r>
                              <w:rPr>
                                <w:sz w:val="16"/>
                                <w:szCs w:val="16"/>
                                <w:lang w:val="ru-RU"/>
                              </w:rPr>
                              <w:t>Процент участников с 6-месячным подтвержденным прогрессированием инвалидности</w:t>
                            </w:r>
                          </w:p>
                        </w:tc>
                      </w:tr>
                    </w:tbl>
                    <w:p w14:paraId="37687174" w14:textId="77777777" w:rsidR="00FE7873" w:rsidRPr="00383DBC" w:rsidRDefault="00FE7873" w:rsidP="00383DBC">
                      <w:pPr>
                        <w:rPr>
                          <w:lang w:val="ru-RU"/>
                        </w:rPr>
                      </w:pPr>
                    </w:p>
                  </w:txbxContent>
                </v:textbox>
              </v:rect>
            </w:pict>
          </mc:Fallback>
        </mc:AlternateContent>
      </w:r>
      <w:r w:rsidRPr="00383DBC">
        <w:rPr>
          <w:rFonts w:cs="Times New Roman"/>
          <w:noProof/>
          <w:sz w:val="24"/>
          <w:szCs w:val="24"/>
          <w:lang w:val="ru-RU" w:eastAsia="ru-RU"/>
        </w:rPr>
        <mc:AlternateContent>
          <mc:Choice Requires="wps">
            <w:drawing>
              <wp:anchor distT="0" distB="0" distL="114300" distR="114300" simplePos="0" relativeHeight="251669504" behindDoc="0" locked="0" layoutInCell="1" allowOverlap="1" wp14:anchorId="72BC7F48" wp14:editId="337A3D32">
                <wp:simplePos x="0" y="0"/>
                <wp:positionH relativeFrom="column">
                  <wp:posOffset>-152400</wp:posOffset>
                </wp:positionH>
                <wp:positionV relativeFrom="paragraph">
                  <wp:posOffset>685800</wp:posOffset>
                </wp:positionV>
                <wp:extent cx="533400" cy="1943100"/>
                <wp:effectExtent l="0" t="0" r="3810" b="381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1943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tblGrid>
                            <w:tr w:rsidR="00FE7873" w:rsidRPr="005818B4" w14:paraId="0E41AC7E" w14:textId="77777777">
                              <w:trPr>
                                <w:cantSplit/>
                                <w:trHeight w:val="2695"/>
                              </w:trPr>
                              <w:tc>
                                <w:tcPr>
                                  <w:tcW w:w="708" w:type="dxa"/>
                                  <w:tcBorders>
                                    <w:top w:val="nil"/>
                                    <w:left w:val="nil"/>
                                    <w:bottom w:val="nil"/>
                                    <w:right w:val="nil"/>
                                  </w:tcBorders>
                                  <w:shd w:val="clear" w:color="auto" w:fill="auto"/>
                                  <w:textDirection w:val="btLr"/>
                                </w:tcPr>
                                <w:p w14:paraId="5B275055" w14:textId="77777777" w:rsidR="00FE7873" w:rsidRPr="00383DBC" w:rsidRDefault="00FE7873">
                                  <w:pPr>
                                    <w:ind w:left="113" w:right="113"/>
                                    <w:jc w:val="center"/>
                                    <w:rPr>
                                      <w:lang w:val="ru-RU"/>
                                    </w:rPr>
                                  </w:pPr>
                                  <w:r>
                                    <w:rPr>
                                      <w:sz w:val="16"/>
                                      <w:szCs w:val="16"/>
                                      <w:lang w:val="ru-RU"/>
                                    </w:rPr>
                                    <w:t>Процент участников с 3-месячным подтвержденным прогрессированием инвалидности</w:t>
                                  </w:r>
                                </w:p>
                              </w:tc>
                            </w:tr>
                          </w:tbl>
                          <w:p w14:paraId="08830890" w14:textId="77777777" w:rsidR="00FE7873" w:rsidRPr="00383DBC" w:rsidRDefault="00FE7873" w:rsidP="00383DBC">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BC7F48" id="Прямоугольник 10" o:spid="_x0000_s1039" style="position:absolute;left:0;text-align:left;margin-left:-12pt;margin-top:54pt;width:42pt;height:15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tblGrid>
                      <w:tr w:rsidR="00FE7873" w:rsidRPr="005818B4" w14:paraId="0E41AC7E" w14:textId="77777777">
                        <w:trPr>
                          <w:cantSplit/>
                          <w:trHeight w:val="2695"/>
                        </w:trPr>
                        <w:tc>
                          <w:tcPr>
                            <w:tcW w:w="708" w:type="dxa"/>
                            <w:tcBorders>
                              <w:top w:val="nil"/>
                              <w:left w:val="nil"/>
                              <w:bottom w:val="nil"/>
                              <w:right w:val="nil"/>
                            </w:tcBorders>
                            <w:shd w:val="clear" w:color="auto" w:fill="auto"/>
                            <w:textDirection w:val="btLr"/>
                          </w:tcPr>
                          <w:p w14:paraId="5B275055" w14:textId="77777777" w:rsidR="00FE7873" w:rsidRPr="00383DBC" w:rsidRDefault="00FE7873">
                            <w:pPr>
                              <w:ind w:left="113" w:right="113"/>
                              <w:jc w:val="center"/>
                              <w:rPr>
                                <w:lang w:val="ru-RU"/>
                              </w:rPr>
                            </w:pPr>
                            <w:r>
                              <w:rPr>
                                <w:sz w:val="16"/>
                                <w:szCs w:val="16"/>
                                <w:lang w:val="ru-RU"/>
                              </w:rPr>
                              <w:t>Процент участников с 3-месячным подтвержденным прогрессированием инвалидности</w:t>
                            </w:r>
                          </w:p>
                        </w:tc>
                      </w:tr>
                    </w:tbl>
                    <w:p w14:paraId="08830890" w14:textId="77777777" w:rsidR="00FE7873" w:rsidRPr="00383DBC" w:rsidRDefault="00FE7873" w:rsidP="00383DBC">
                      <w:pPr>
                        <w:rPr>
                          <w:lang w:val="ru-RU"/>
                        </w:rPr>
                      </w:pPr>
                    </w:p>
                  </w:txbxContent>
                </v:textbox>
              </v:rect>
            </w:pict>
          </mc:Fallback>
        </mc:AlternateContent>
      </w:r>
      <w:r w:rsidRPr="00383DBC">
        <w:rPr>
          <w:rFonts w:cs="Times New Roman"/>
          <w:noProof/>
          <w:sz w:val="24"/>
          <w:szCs w:val="24"/>
          <w:lang w:val="ru-RU" w:eastAsia="ru-RU"/>
        </w:rPr>
        <mc:AlternateContent>
          <mc:Choice Requires="wps">
            <w:drawing>
              <wp:anchor distT="0" distB="0" distL="114300" distR="114300" simplePos="0" relativeHeight="251668480" behindDoc="0" locked="0" layoutInCell="1" allowOverlap="1" wp14:anchorId="446BDCA6" wp14:editId="0230E5F9">
                <wp:simplePos x="0" y="0"/>
                <wp:positionH relativeFrom="column">
                  <wp:posOffset>3200400</wp:posOffset>
                </wp:positionH>
                <wp:positionV relativeFrom="paragraph">
                  <wp:posOffset>0</wp:posOffset>
                </wp:positionV>
                <wp:extent cx="2514600" cy="457200"/>
                <wp:effectExtent l="0" t="0" r="3810" b="381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15CCE" w14:textId="77777777" w:rsidR="00FE7873" w:rsidRPr="00383DBC" w:rsidRDefault="00FE7873" w:rsidP="00383DBC">
                            <w:pPr>
                              <w:jc w:val="center"/>
                              <w:rPr>
                                <w:sz w:val="16"/>
                                <w:szCs w:val="16"/>
                                <w:lang w:val="ru-RU"/>
                              </w:rPr>
                            </w:pPr>
                            <w:r w:rsidRPr="00383DBC">
                              <w:rPr>
                                <w:rStyle w:val="afe"/>
                                <w:lang w:val="ru-RU"/>
                              </w:rPr>
                              <w:t xml:space="preserve">Время до </w:t>
                            </w:r>
                            <w:r>
                              <w:rPr>
                                <w:rStyle w:val="afe"/>
                                <w:lang w:val="ru-RU"/>
                              </w:rPr>
                              <w:t>6</w:t>
                            </w:r>
                            <w:r w:rsidRPr="00383DBC">
                              <w:rPr>
                                <w:rStyle w:val="afe"/>
                                <w:lang w:val="ru-RU"/>
                              </w:rPr>
                              <w:t xml:space="preserve">-месячного </w:t>
                            </w:r>
                            <w:r>
                              <w:rPr>
                                <w:rStyle w:val="afe"/>
                                <w:lang w:val="ru-RU"/>
                              </w:rPr>
                              <w:t xml:space="preserve">подтвержденного прогрессирования инвалидности </w:t>
                            </w:r>
                            <w:r w:rsidRPr="00383DBC">
                              <w:rPr>
                                <w:rStyle w:val="afe"/>
                                <w:lang w:val="ru-RU"/>
                              </w:rPr>
                              <w:t>в сравнении с плацебо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6BDCA6" id="Прямоугольник 9" o:spid="_x0000_s1040" style="position:absolute;left:0;text-align:left;margin-left:252pt;margin-top:0;width:198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" stroked="f">
                <v:textbox>
                  <w:txbxContent>
                    <w:p w14:paraId="6F515CCE" w14:textId="77777777" w:rsidR="00FE7873" w:rsidRPr="00383DBC" w:rsidRDefault="00FE7873" w:rsidP="00383DBC">
                      <w:pPr>
                        <w:jc w:val="center"/>
                        <w:rPr>
                          <w:sz w:val="16"/>
                          <w:szCs w:val="16"/>
                          <w:lang w:val="ru-RU"/>
                        </w:rPr>
                      </w:pPr>
                      <w:r w:rsidRPr="00383DBC">
                        <w:rPr>
                          <w:rStyle w:val="afe"/>
                          <w:lang w:val="ru-RU"/>
                        </w:rPr>
                        <w:t xml:space="preserve">Время до </w:t>
                      </w:r>
                      <w:r>
                        <w:rPr>
                          <w:rStyle w:val="afe"/>
                          <w:lang w:val="ru-RU"/>
                        </w:rPr>
                        <w:t>6</w:t>
                      </w:r>
                      <w:r w:rsidRPr="00383DBC">
                        <w:rPr>
                          <w:rStyle w:val="afe"/>
                          <w:lang w:val="ru-RU"/>
                        </w:rPr>
                        <w:t xml:space="preserve">-месячного </w:t>
                      </w:r>
                      <w:r>
                        <w:rPr>
                          <w:rStyle w:val="afe"/>
                          <w:lang w:val="ru-RU"/>
                        </w:rPr>
                        <w:t xml:space="preserve">подтвержденного прогрессирования инвалидности </w:t>
                      </w:r>
                      <w:r w:rsidRPr="00383DBC">
                        <w:rPr>
                          <w:rStyle w:val="afe"/>
                          <w:lang w:val="ru-RU"/>
                        </w:rPr>
                        <w:t>в сравнении с плацебо</w:t>
                      </w:r>
                    </w:p>
                  </w:txbxContent>
                </v:textbox>
              </v:rect>
            </w:pict>
          </mc:Fallback>
        </mc:AlternateContent>
      </w:r>
      <w:r w:rsidRPr="00383DBC">
        <w:rPr>
          <w:rFonts w:cs="Times New Roman"/>
          <w:noProof/>
          <w:sz w:val="24"/>
          <w:szCs w:val="24"/>
          <w:lang w:val="ru-RU" w:eastAsia="ru-RU"/>
        </w:rPr>
        <mc:AlternateContent>
          <mc:Choice Requires="wps">
            <w:drawing>
              <wp:anchor distT="0" distB="0" distL="114300" distR="114300" simplePos="0" relativeHeight="251667456" behindDoc="0" locked="0" layoutInCell="1" allowOverlap="1" wp14:anchorId="78FCB0EE" wp14:editId="5E2BD81A">
                <wp:simplePos x="0" y="0"/>
                <wp:positionH relativeFrom="column">
                  <wp:posOffset>381000</wp:posOffset>
                </wp:positionH>
                <wp:positionV relativeFrom="paragraph">
                  <wp:posOffset>0</wp:posOffset>
                </wp:positionV>
                <wp:extent cx="2514600" cy="571500"/>
                <wp:effectExtent l="0" t="0" r="3810" b="381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648D26" w14:textId="77777777" w:rsidR="00FE7873" w:rsidRPr="00383DBC" w:rsidRDefault="00FE7873" w:rsidP="00383DBC">
                            <w:pPr>
                              <w:jc w:val="center"/>
                              <w:rPr>
                                <w:sz w:val="16"/>
                                <w:szCs w:val="16"/>
                                <w:lang w:val="ru-RU"/>
                              </w:rPr>
                            </w:pPr>
                            <w:r w:rsidRPr="00383DBC">
                              <w:rPr>
                                <w:rStyle w:val="afe"/>
                                <w:lang w:val="ru-RU"/>
                              </w:rPr>
                              <w:t xml:space="preserve">Время до 3-месячного </w:t>
                            </w:r>
                            <w:r>
                              <w:rPr>
                                <w:rStyle w:val="afe"/>
                                <w:lang w:val="ru-RU"/>
                              </w:rPr>
                              <w:t xml:space="preserve">подтвержденного прогрессирования инвалидности </w:t>
                            </w:r>
                            <w:r w:rsidRPr="00383DBC">
                              <w:rPr>
                                <w:rStyle w:val="afe"/>
                                <w:lang w:val="ru-RU"/>
                              </w:rPr>
                              <w:t>в сравнении с плацебо</w:t>
                            </w:r>
                            <w:r w:rsidRPr="00383DBC">
                              <w:rPr>
                                <w:sz w:val="16"/>
                                <w:szCs w:val="16"/>
                                <w:lang w:val="ru-RU"/>
                              </w:rPr>
                              <w:br/>
                              <w:t>(Основная конечная точка)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FCB0EE" id="Прямоугольник 8" o:spid="_x0000_s1041" style="position:absolute;left:0;text-align:left;margin-left:30pt;margin-top:0;width:198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" stroked="f">
                <v:textbox>
                  <w:txbxContent>
                    <w:p w14:paraId="16648D26" w14:textId="77777777" w:rsidR="00FE7873" w:rsidRPr="00383DBC" w:rsidRDefault="00FE7873" w:rsidP="00383DBC">
                      <w:pPr>
                        <w:jc w:val="center"/>
                        <w:rPr>
                          <w:sz w:val="16"/>
                          <w:szCs w:val="16"/>
                          <w:lang w:val="ru-RU"/>
                        </w:rPr>
                      </w:pPr>
                      <w:r w:rsidRPr="00383DBC">
                        <w:rPr>
                          <w:rStyle w:val="afe"/>
                          <w:lang w:val="ru-RU"/>
                        </w:rPr>
                        <w:t xml:space="preserve">Время до 3-месячного </w:t>
                      </w:r>
                      <w:r>
                        <w:rPr>
                          <w:rStyle w:val="afe"/>
                          <w:lang w:val="ru-RU"/>
                        </w:rPr>
                        <w:t xml:space="preserve">подтвержденного прогрессирования инвалидности </w:t>
                      </w:r>
                      <w:r w:rsidRPr="00383DBC">
                        <w:rPr>
                          <w:rStyle w:val="afe"/>
                          <w:lang w:val="ru-RU"/>
                        </w:rPr>
                        <w:t>в сравнении с плацебо</w:t>
                      </w:r>
                      <w:r w:rsidRPr="00383DBC">
                        <w:rPr>
                          <w:sz w:val="16"/>
                          <w:szCs w:val="16"/>
                          <w:lang w:val="ru-RU"/>
                        </w:rPr>
                        <w:br/>
                        <w:t>(Основная конечная точка)</w:t>
                      </w:r>
                    </w:p>
                  </w:txbxContent>
                </v:textbox>
              </v:rect>
            </w:pict>
          </mc:Fallback>
        </mc:AlternateContent>
      </w:r>
      <w:r w:rsidRPr="00383DBC">
        <w:rPr>
          <w:rFonts w:cs="Times New Roman"/>
          <w:noProof/>
          <w:sz w:val="24"/>
          <w:szCs w:val="24"/>
          <w:lang w:val="ru-RU" w:eastAsia="ru-RU"/>
        </w:rPr>
        <w:drawing>
          <wp:inline distT="0" distB="0" distL="0" distR="0" wp14:anchorId="7396CED2" wp14:editId="221F8C21">
            <wp:extent cx="5800725" cy="3006725"/>
            <wp:effectExtent l="0" t="0" r="9525"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00725" cy="3006725"/>
                    </a:xfrm>
                    <a:prstGeom prst="rect">
                      <a:avLst/>
                    </a:prstGeom>
                    <a:noFill/>
                    <a:ln>
                      <a:noFill/>
                    </a:ln>
                  </pic:spPr>
                </pic:pic>
              </a:graphicData>
            </a:graphic>
          </wp:inline>
        </w:drawing>
      </w:r>
    </w:p>
    <w:p w14:paraId="148E4850" w14:textId="77777777" w:rsidR="00383DBC" w:rsidRPr="00383DBC" w:rsidRDefault="00383DBC" w:rsidP="00383DBC">
      <w:pPr>
        <w:jc w:val="both"/>
        <w:rPr>
          <w:rFonts w:cs="Times New Roman"/>
          <w:sz w:val="24"/>
          <w:szCs w:val="24"/>
          <w:lang w:val="ru-RU"/>
        </w:rPr>
      </w:pPr>
    </w:p>
    <w:tbl>
      <w:tblPr>
        <w:tblW w:w="0" w:type="auto"/>
        <w:tblLook w:val="01E0" w:firstRow="1" w:lastRow="1" w:firstColumn="1" w:lastColumn="1" w:noHBand="0" w:noVBand="0"/>
      </w:tblPr>
      <w:tblGrid>
        <w:gridCol w:w="2508"/>
        <w:gridCol w:w="2136"/>
        <w:gridCol w:w="2586"/>
        <w:gridCol w:w="2058"/>
      </w:tblGrid>
      <w:tr w:rsidR="00383DBC" w:rsidRPr="00383DBC" w14:paraId="77AB520A" w14:textId="77777777" w:rsidTr="00482FB1">
        <w:tc>
          <w:tcPr>
            <w:tcW w:w="5068" w:type="dxa"/>
            <w:gridSpan w:val="2"/>
            <w:shd w:val="clear" w:color="auto" w:fill="auto"/>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4"/>
              <w:gridCol w:w="468"/>
              <w:gridCol w:w="468"/>
              <w:gridCol w:w="468"/>
              <w:gridCol w:w="468"/>
              <w:gridCol w:w="468"/>
              <w:gridCol w:w="384"/>
              <w:gridCol w:w="300"/>
              <w:gridCol w:w="300"/>
            </w:tblGrid>
            <w:tr w:rsidR="00383DBC" w:rsidRPr="005818B4" w14:paraId="0653FE13" w14:textId="77777777" w:rsidTr="00D50E7D">
              <w:trPr>
                <w:jc w:val="center"/>
              </w:trPr>
              <w:tc>
                <w:tcPr>
                  <w:tcW w:w="4548" w:type="dxa"/>
                  <w:gridSpan w:val="9"/>
                  <w:tcBorders>
                    <w:top w:val="single" w:sz="4" w:space="0" w:color="auto"/>
                    <w:left w:val="single" w:sz="4" w:space="0" w:color="auto"/>
                    <w:bottom w:val="single" w:sz="4" w:space="0" w:color="auto"/>
                    <w:right w:val="single" w:sz="4" w:space="0" w:color="auto"/>
                  </w:tcBorders>
                </w:tcPr>
                <w:p w14:paraId="3178E773" w14:textId="77777777" w:rsidR="00383DBC" w:rsidRPr="00D50E7D" w:rsidRDefault="00383DBC" w:rsidP="00383DBC">
                  <w:pPr>
                    <w:rPr>
                      <w:rFonts w:eastAsia="MS MinNew Roman" w:cs="Times New Roman"/>
                      <w:b/>
                      <w:bCs/>
                      <w:szCs w:val="24"/>
                      <w:lang w:val="ru-RU"/>
                    </w:rPr>
                  </w:pPr>
                  <w:r w:rsidRPr="00D50E7D">
                    <w:rPr>
                      <w:rFonts w:cs="Times New Roman"/>
                      <w:b/>
                      <w:bCs/>
                      <w:szCs w:val="24"/>
                      <w:lang w:val="ru-RU"/>
                    </w:rPr>
                    <w:t>Число пациентов, находящихся под риском</w:t>
                  </w:r>
                </w:p>
              </w:tc>
            </w:tr>
            <w:tr w:rsidR="00383DBC" w:rsidRPr="00D50E7D" w14:paraId="293B6716" w14:textId="77777777" w:rsidTr="00D50E7D">
              <w:trPr>
                <w:jc w:val="center"/>
              </w:trPr>
              <w:tc>
                <w:tcPr>
                  <w:tcW w:w="1008" w:type="dxa"/>
                  <w:tcBorders>
                    <w:top w:val="single" w:sz="4" w:space="0" w:color="auto"/>
                    <w:left w:val="single" w:sz="4" w:space="0" w:color="auto"/>
                    <w:bottom w:val="single" w:sz="4" w:space="0" w:color="auto"/>
                    <w:right w:val="single" w:sz="4" w:space="0" w:color="auto"/>
                  </w:tcBorders>
                </w:tcPr>
                <w:p w14:paraId="5F46C377" w14:textId="77777777" w:rsidR="00383DBC" w:rsidRPr="00D50E7D" w:rsidRDefault="00383DBC" w:rsidP="00383DBC">
                  <w:pPr>
                    <w:rPr>
                      <w:rFonts w:eastAsia="MS MinNew Roman" w:cs="Times New Roman"/>
                      <w:b/>
                      <w:bCs/>
                      <w:szCs w:val="24"/>
                      <w:lang w:val="ru-RU"/>
                    </w:rPr>
                  </w:pPr>
                  <w:r w:rsidRPr="00D50E7D">
                    <w:rPr>
                      <w:rFonts w:eastAsia="MS MinNew Roman" w:cs="Times New Roman"/>
                      <w:b/>
                      <w:bCs/>
                      <w:szCs w:val="24"/>
                      <w:lang w:val="ru-RU"/>
                    </w:rPr>
                    <w:t>Сипонимод</w:t>
                  </w:r>
                </w:p>
              </w:tc>
              <w:tc>
                <w:tcPr>
                  <w:tcW w:w="540" w:type="dxa"/>
                  <w:tcBorders>
                    <w:top w:val="single" w:sz="4" w:space="0" w:color="auto"/>
                    <w:left w:val="single" w:sz="4" w:space="0" w:color="auto"/>
                    <w:bottom w:val="single" w:sz="4" w:space="0" w:color="auto"/>
                    <w:right w:val="single" w:sz="4" w:space="0" w:color="auto"/>
                  </w:tcBorders>
                </w:tcPr>
                <w:p w14:paraId="38C59EA6"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516</w:t>
                  </w:r>
                </w:p>
              </w:tc>
              <w:tc>
                <w:tcPr>
                  <w:tcW w:w="480" w:type="dxa"/>
                  <w:tcBorders>
                    <w:top w:val="single" w:sz="4" w:space="0" w:color="auto"/>
                    <w:left w:val="single" w:sz="4" w:space="0" w:color="auto"/>
                    <w:bottom w:val="single" w:sz="4" w:space="0" w:color="auto"/>
                    <w:right w:val="single" w:sz="4" w:space="0" w:color="auto"/>
                  </w:tcBorders>
                </w:tcPr>
                <w:p w14:paraId="106407CC"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439</w:t>
                  </w:r>
                </w:p>
              </w:tc>
              <w:tc>
                <w:tcPr>
                  <w:tcW w:w="480" w:type="dxa"/>
                  <w:tcBorders>
                    <w:top w:val="single" w:sz="4" w:space="0" w:color="auto"/>
                    <w:left w:val="single" w:sz="4" w:space="0" w:color="auto"/>
                    <w:bottom w:val="single" w:sz="4" w:space="0" w:color="auto"/>
                    <w:right w:val="single" w:sz="4" w:space="0" w:color="auto"/>
                  </w:tcBorders>
                </w:tcPr>
                <w:p w14:paraId="688BC724"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376</w:t>
                  </w:r>
                </w:p>
              </w:tc>
              <w:tc>
                <w:tcPr>
                  <w:tcW w:w="480" w:type="dxa"/>
                  <w:tcBorders>
                    <w:top w:val="single" w:sz="4" w:space="0" w:color="auto"/>
                    <w:left w:val="single" w:sz="4" w:space="0" w:color="auto"/>
                    <w:bottom w:val="single" w:sz="4" w:space="0" w:color="auto"/>
                    <w:right w:val="single" w:sz="4" w:space="0" w:color="auto"/>
                  </w:tcBorders>
                </w:tcPr>
                <w:p w14:paraId="5563AC75"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245</w:t>
                  </w:r>
                </w:p>
              </w:tc>
              <w:tc>
                <w:tcPr>
                  <w:tcW w:w="480" w:type="dxa"/>
                  <w:tcBorders>
                    <w:top w:val="single" w:sz="4" w:space="0" w:color="auto"/>
                    <w:left w:val="single" w:sz="4" w:space="0" w:color="auto"/>
                    <w:bottom w:val="single" w:sz="4" w:space="0" w:color="auto"/>
                    <w:right w:val="single" w:sz="4" w:space="0" w:color="auto"/>
                  </w:tcBorders>
                </w:tcPr>
                <w:p w14:paraId="6BDBF26C"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149</w:t>
                  </w:r>
                </w:p>
              </w:tc>
              <w:tc>
                <w:tcPr>
                  <w:tcW w:w="480" w:type="dxa"/>
                  <w:tcBorders>
                    <w:top w:val="single" w:sz="4" w:space="0" w:color="auto"/>
                    <w:left w:val="single" w:sz="4" w:space="0" w:color="auto"/>
                    <w:bottom w:val="single" w:sz="4" w:space="0" w:color="auto"/>
                    <w:right w:val="single" w:sz="4" w:space="0" w:color="auto"/>
                  </w:tcBorders>
                </w:tcPr>
                <w:p w14:paraId="6FF004FB"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48</w:t>
                  </w:r>
                </w:p>
              </w:tc>
              <w:tc>
                <w:tcPr>
                  <w:tcW w:w="360" w:type="dxa"/>
                  <w:tcBorders>
                    <w:top w:val="single" w:sz="4" w:space="0" w:color="auto"/>
                    <w:left w:val="single" w:sz="4" w:space="0" w:color="auto"/>
                    <w:bottom w:val="single" w:sz="4" w:space="0" w:color="auto"/>
                    <w:right w:val="single" w:sz="4" w:space="0" w:color="auto"/>
                  </w:tcBorders>
                </w:tcPr>
                <w:p w14:paraId="65FBF2D0"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1</w:t>
                  </w:r>
                </w:p>
              </w:tc>
              <w:tc>
                <w:tcPr>
                  <w:tcW w:w="240" w:type="dxa"/>
                  <w:tcBorders>
                    <w:top w:val="single" w:sz="4" w:space="0" w:color="auto"/>
                    <w:left w:val="single" w:sz="4" w:space="0" w:color="auto"/>
                    <w:bottom w:val="single" w:sz="4" w:space="0" w:color="auto"/>
                    <w:right w:val="single" w:sz="4" w:space="0" w:color="auto"/>
                  </w:tcBorders>
                </w:tcPr>
                <w:p w14:paraId="0D9F097B"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0</w:t>
                  </w:r>
                </w:p>
              </w:tc>
            </w:tr>
            <w:tr w:rsidR="00383DBC" w:rsidRPr="00D50E7D" w14:paraId="287E89D5" w14:textId="77777777" w:rsidTr="00D50E7D">
              <w:trPr>
                <w:jc w:val="center"/>
              </w:trPr>
              <w:tc>
                <w:tcPr>
                  <w:tcW w:w="1008" w:type="dxa"/>
                  <w:tcBorders>
                    <w:top w:val="single" w:sz="4" w:space="0" w:color="auto"/>
                    <w:left w:val="single" w:sz="4" w:space="0" w:color="auto"/>
                    <w:bottom w:val="single" w:sz="4" w:space="0" w:color="auto"/>
                    <w:right w:val="single" w:sz="4" w:space="0" w:color="auto"/>
                  </w:tcBorders>
                </w:tcPr>
                <w:p w14:paraId="66EE81B2" w14:textId="77777777" w:rsidR="00383DBC" w:rsidRPr="00D50E7D" w:rsidRDefault="00383DBC" w:rsidP="00383DBC">
                  <w:pPr>
                    <w:rPr>
                      <w:rFonts w:eastAsia="MS MinNew Roman" w:cs="Times New Roman"/>
                      <w:b/>
                      <w:bCs/>
                      <w:szCs w:val="24"/>
                      <w:lang w:val="ru-RU"/>
                    </w:rPr>
                  </w:pPr>
                  <w:r w:rsidRPr="00D50E7D">
                    <w:rPr>
                      <w:rFonts w:eastAsia="MS MinNew Roman" w:cs="Times New Roman"/>
                      <w:b/>
                      <w:bCs/>
                      <w:szCs w:val="24"/>
                      <w:lang w:val="ru-RU"/>
                    </w:rPr>
                    <w:t>Плацебо</w:t>
                  </w:r>
                </w:p>
              </w:tc>
              <w:tc>
                <w:tcPr>
                  <w:tcW w:w="540" w:type="dxa"/>
                  <w:tcBorders>
                    <w:top w:val="single" w:sz="4" w:space="0" w:color="auto"/>
                    <w:left w:val="single" w:sz="4" w:space="0" w:color="auto"/>
                    <w:bottom w:val="single" w:sz="4" w:space="0" w:color="auto"/>
                    <w:right w:val="single" w:sz="4" w:space="0" w:color="auto"/>
                  </w:tcBorders>
                </w:tcPr>
                <w:p w14:paraId="66F2672C"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263</w:t>
                  </w:r>
                </w:p>
              </w:tc>
              <w:tc>
                <w:tcPr>
                  <w:tcW w:w="480" w:type="dxa"/>
                  <w:tcBorders>
                    <w:top w:val="single" w:sz="4" w:space="0" w:color="auto"/>
                    <w:left w:val="single" w:sz="4" w:space="0" w:color="auto"/>
                    <w:bottom w:val="single" w:sz="4" w:space="0" w:color="auto"/>
                    <w:right w:val="single" w:sz="4" w:space="0" w:color="auto"/>
                  </w:tcBorders>
                </w:tcPr>
                <w:p w14:paraId="7C6CF732"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221</w:t>
                  </w:r>
                </w:p>
              </w:tc>
              <w:tc>
                <w:tcPr>
                  <w:tcW w:w="480" w:type="dxa"/>
                  <w:tcBorders>
                    <w:top w:val="single" w:sz="4" w:space="0" w:color="auto"/>
                    <w:left w:val="single" w:sz="4" w:space="0" w:color="auto"/>
                    <w:bottom w:val="single" w:sz="4" w:space="0" w:color="auto"/>
                    <w:right w:val="single" w:sz="4" w:space="0" w:color="auto"/>
                  </w:tcBorders>
                </w:tcPr>
                <w:p w14:paraId="7B542ECC"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164</w:t>
                  </w:r>
                </w:p>
              </w:tc>
              <w:tc>
                <w:tcPr>
                  <w:tcW w:w="480" w:type="dxa"/>
                  <w:tcBorders>
                    <w:top w:val="single" w:sz="4" w:space="0" w:color="auto"/>
                    <w:left w:val="single" w:sz="4" w:space="0" w:color="auto"/>
                    <w:bottom w:val="single" w:sz="4" w:space="0" w:color="auto"/>
                    <w:right w:val="single" w:sz="4" w:space="0" w:color="auto"/>
                  </w:tcBorders>
                </w:tcPr>
                <w:p w14:paraId="67944F34"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112</w:t>
                  </w:r>
                </w:p>
              </w:tc>
              <w:tc>
                <w:tcPr>
                  <w:tcW w:w="480" w:type="dxa"/>
                  <w:tcBorders>
                    <w:top w:val="single" w:sz="4" w:space="0" w:color="auto"/>
                    <w:left w:val="single" w:sz="4" w:space="0" w:color="auto"/>
                    <w:bottom w:val="single" w:sz="4" w:space="0" w:color="auto"/>
                    <w:right w:val="single" w:sz="4" w:space="0" w:color="auto"/>
                  </w:tcBorders>
                </w:tcPr>
                <w:p w14:paraId="3FAF6AE9"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68</w:t>
                  </w:r>
                </w:p>
              </w:tc>
              <w:tc>
                <w:tcPr>
                  <w:tcW w:w="480" w:type="dxa"/>
                  <w:tcBorders>
                    <w:top w:val="single" w:sz="4" w:space="0" w:color="auto"/>
                    <w:left w:val="single" w:sz="4" w:space="0" w:color="auto"/>
                    <w:bottom w:val="single" w:sz="4" w:space="0" w:color="auto"/>
                    <w:right w:val="single" w:sz="4" w:space="0" w:color="auto"/>
                  </w:tcBorders>
                </w:tcPr>
                <w:p w14:paraId="47A5517F"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19</w:t>
                  </w:r>
                </w:p>
              </w:tc>
              <w:tc>
                <w:tcPr>
                  <w:tcW w:w="360" w:type="dxa"/>
                  <w:tcBorders>
                    <w:top w:val="single" w:sz="4" w:space="0" w:color="auto"/>
                    <w:left w:val="single" w:sz="4" w:space="0" w:color="auto"/>
                    <w:bottom w:val="single" w:sz="4" w:space="0" w:color="auto"/>
                    <w:right w:val="single" w:sz="4" w:space="0" w:color="auto"/>
                  </w:tcBorders>
                </w:tcPr>
                <w:p w14:paraId="2C3461B6"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0</w:t>
                  </w:r>
                </w:p>
              </w:tc>
              <w:tc>
                <w:tcPr>
                  <w:tcW w:w="240" w:type="dxa"/>
                  <w:tcBorders>
                    <w:top w:val="single" w:sz="4" w:space="0" w:color="auto"/>
                    <w:left w:val="single" w:sz="4" w:space="0" w:color="auto"/>
                    <w:bottom w:val="single" w:sz="4" w:space="0" w:color="auto"/>
                    <w:right w:val="single" w:sz="4" w:space="0" w:color="auto"/>
                  </w:tcBorders>
                </w:tcPr>
                <w:p w14:paraId="70953E28"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0</w:t>
                  </w:r>
                </w:p>
              </w:tc>
            </w:tr>
          </w:tbl>
          <w:p w14:paraId="197A6941" w14:textId="77777777" w:rsidR="00383DBC" w:rsidRPr="00383DBC" w:rsidRDefault="00383DBC" w:rsidP="00383DBC">
            <w:pPr>
              <w:jc w:val="both"/>
              <w:rPr>
                <w:rFonts w:cs="Times New Roman"/>
                <w:sz w:val="24"/>
                <w:szCs w:val="24"/>
                <w:lang w:val="ru-RU"/>
              </w:rPr>
            </w:pPr>
          </w:p>
        </w:tc>
        <w:tc>
          <w:tcPr>
            <w:tcW w:w="5069" w:type="dxa"/>
            <w:gridSpan w:val="2"/>
            <w:shd w:val="clear" w:color="auto" w:fill="auto"/>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4"/>
              <w:gridCol w:w="468"/>
              <w:gridCol w:w="468"/>
              <w:gridCol w:w="468"/>
              <w:gridCol w:w="468"/>
              <w:gridCol w:w="468"/>
              <w:gridCol w:w="384"/>
              <w:gridCol w:w="300"/>
              <w:gridCol w:w="300"/>
            </w:tblGrid>
            <w:tr w:rsidR="00383DBC" w:rsidRPr="005818B4" w14:paraId="7DD86AF3" w14:textId="77777777" w:rsidTr="00D50E7D">
              <w:trPr>
                <w:jc w:val="center"/>
              </w:trPr>
              <w:tc>
                <w:tcPr>
                  <w:tcW w:w="4548" w:type="dxa"/>
                  <w:gridSpan w:val="9"/>
                  <w:tcBorders>
                    <w:top w:val="single" w:sz="4" w:space="0" w:color="auto"/>
                    <w:left w:val="single" w:sz="4" w:space="0" w:color="auto"/>
                    <w:bottom w:val="single" w:sz="4" w:space="0" w:color="auto"/>
                    <w:right w:val="single" w:sz="4" w:space="0" w:color="auto"/>
                  </w:tcBorders>
                </w:tcPr>
                <w:p w14:paraId="082490EC" w14:textId="77777777" w:rsidR="00383DBC" w:rsidRPr="00D50E7D" w:rsidRDefault="00383DBC" w:rsidP="00383DBC">
                  <w:pPr>
                    <w:rPr>
                      <w:rFonts w:eastAsia="MS MinNew Roman" w:cs="Times New Roman"/>
                      <w:b/>
                      <w:bCs/>
                      <w:szCs w:val="24"/>
                      <w:lang w:val="ru-RU"/>
                    </w:rPr>
                  </w:pPr>
                  <w:r w:rsidRPr="00D50E7D">
                    <w:rPr>
                      <w:rFonts w:cs="Times New Roman"/>
                      <w:b/>
                      <w:bCs/>
                      <w:szCs w:val="24"/>
                      <w:lang w:val="ru-RU"/>
                    </w:rPr>
                    <w:t>Число пациентов, находящихся под риском</w:t>
                  </w:r>
                </w:p>
              </w:tc>
            </w:tr>
            <w:tr w:rsidR="00383DBC" w:rsidRPr="00D50E7D" w14:paraId="5EF10BDC" w14:textId="77777777" w:rsidTr="00D50E7D">
              <w:trPr>
                <w:jc w:val="center"/>
              </w:trPr>
              <w:tc>
                <w:tcPr>
                  <w:tcW w:w="1008" w:type="dxa"/>
                  <w:tcBorders>
                    <w:top w:val="single" w:sz="4" w:space="0" w:color="auto"/>
                    <w:left w:val="single" w:sz="4" w:space="0" w:color="auto"/>
                    <w:bottom w:val="single" w:sz="4" w:space="0" w:color="auto"/>
                    <w:right w:val="single" w:sz="4" w:space="0" w:color="auto"/>
                  </w:tcBorders>
                </w:tcPr>
                <w:p w14:paraId="728BD579" w14:textId="77777777" w:rsidR="00383DBC" w:rsidRPr="00D50E7D" w:rsidRDefault="00383DBC" w:rsidP="00383DBC">
                  <w:pPr>
                    <w:rPr>
                      <w:rFonts w:eastAsia="MS MinNew Roman" w:cs="Times New Roman"/>
                      <w:b/>
                      <w:bCs/>
                      <w:szCs w:val="24"/>
                      <w:lang w:val="ru-RU"/>
                    </w:rPr>
                  </w:pPr>
                  <w:r w:rsidRPr="00D50E7D">
                    <w:rPr>
                      <w:rFonts w:eastAsia="MS MinNew Roman" w:cs="Times New Roman"/>
                      <w:b/>
                      <w:bCs/>
                      <w:szCs w:val="24"/>
                      <w:lang w:val="ru-RU"/>
                    </w:rPr>
                    <w:t>Сипонимод</w:t>
                  </w:r>
                </w:p>
              </w:tc>
              <w:tc>
                <w:tcPr>
                  <w:tcW w:w="540" w:type="dxa"/>
                  <w:tcBorders>
                    <w:top w:val="single" w:sz="4" w:space="0" w:color="auto"/>
                    <w:left w:val="single" w:sz="4" w:space="0" w:color="auto"/>
                    <w:bottom w:val="single" w:sz="4" w:space="0" w:color="auto"/>
                    <w:right w:val="single" w:sz="4" w:space="0" w:color="auto"/>
                  </w:tcBorders>
                </w:tcPr>
                <w:p w14:paraId="7989840E"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516</w:t>
                  </w:r>
                </w:p>
              </w:tc>
              <w:tc>
                <w:tcPr>
                  <w:tcW w:w="480" w:type="dxa"/>
                  <w:tcBorders>
                    <w:top w:val="single" w:sz="4" w:space="0" w:color="auto"/>
                    <w:left w:val="single" w:sz="4" w:space="0" w:color="auto"/>
                    <w:bottom w:val="single" w:sz="4" w:space="0" w:color="auto"/>
                    <w:right w:val="single" w:sz="4" w:space="0" w:color="auto"/>
                  </w:tcBorders>
                </w:tcPr>
                <w:p w14:paraId="2B9C0C17"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447</w:t>
                  </w:r>
                </w:p>
              </w:tc>
              <w:tc>
                <w:tcPr>
                  <w:tcW w:w="480" w:type="dxa"/>
                  <w:tcBorders>
                    <w:top w:val="single" w:sz="4" w:space="0" w:color="auto"/>
                    <w:left w:val="single" w:sz="4" w:space="0" w:color="auto"/>
                    <w:bottom w:val="single" w:sz="4" w:space="0" w:color="auto"/>
                    <w:right w:val="single" w:sz="4" w:space="0" w:color="auto"/>
                  </w:tcBorders>
                </w:tcPr>
                <w:p w14:paraId="1C88A3B4"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391</w:t>
                  </w:r>
                </w:p>
              </w:tc>
              <w:tc>
                <w:tcPr>
                  <w:tcW w:w="480" w:type="dxa"/>
                  <w:tcBorders>
                    <w:top w:val="single" w:sz="4" w:space="0" w:color="auto"/>
                    <w:left w:val="single" w:sz="4" w:space="0" w:color="auto"/>
                    <w:bottom w:val="single" w:sz="4" w:space="0" w:color="auto"/>
                    <w:right w:val="single" w:sz="4" w:space="0" w:color="auto"/>
                  </w:tcBorders>
                </w:tcPr>
                <w:p w14:paraId="40FCDF99"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258</w:t>
                  </w:r>
                </w:p>
              </w:tc>
              <w:tc>
                <w:tcPr>
                  <w:tcW w:w="480" w:type="dxa"/>
                  <w:tcBorders>
                    <w:top w:val="single" w:sz="4" w:space="0" w:color="auto"/>
                    <w:left w:val="single" w:sz="4" w:space="0" w:color="auto"/>
                    <w:bottom w:val="single" w:sz="4" w:space="0" w:color="auto"/>
                    <w:right w:val="single" w:sz="4" w:space="0" w:color="auto"/>
                  </w:tcBorders>
                </w:tcPr>
                <w:p w14:paraId="401AB4B1"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156</w:t>
                  </w:r>
                </w:p>
              </w:tc>
              <w:tc>
                <w:tcPr>
                  <w:tcW w:w="480" w:type="dxa"/>
                  <w:tcBorders>
                    <w:top w:val="single" w:sz="4" w:space="0" w:color="auto"/>
                    <w:left w:val="single" w:sz="4" w:space="0" w:color="auto"/>
                    <w:bottom w:val="single" w:sz="4" w:space="0" w:color="auto"/>
                    <w:right w:val="single" w:sz="4" w:space="0" w:color="auto"/>
                  </w:tcBorders>
                </w:tcPr>
                <w:p w14:paraId="5B92C869"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51</w:t>
                  </w:r>
                </w:p>
              </w:tc>
              <w:tc>
                <w:tcPr>
                  <w:tcW w:w="360" w:type="dxa"/>
                  <w:tcBorders>
                    <w:top w:val="single" w:sz="4" w:space="0" w:color="auto"/>
                    <w:left w:val="single" w:sz="4" w:space="0" w:color="auto"/>
                    <w:bottom w:val="single" w:sz="4" w:space="0" w:color="auto"/>
                    <w:right w:val="single" w:sz="4" w:space="0" w:color="auto"/>
                  </w:tcBorders>
                </w:tcPr>
                <w:p w14:paraId="291F4361"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1</w:t>
                  </w:r>
                </w:p>
              </w:tc>
              <w:tc>
                <w:tcPr>
                  <w:tcW w:w="240" w:type="dxa"/>
                  <w:tcBorders>
                    <w:top w:val="single" w:sz="4" w:space="0" w:color="auto"/>
                    <w:left w:val="single" w:sz="4" w:space="0" w:color="auto"/>
                    <w:bottom w:val="single" w:sz="4" w:space="0" w:color="auto"/>
                    <w:right w:val="single" w:sz="4" w:space="0" w:color="auto"/>
                  </w:tcBorders>
                </w:tcPr>
                <w:p w14:paraId="2F68B4E9"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0</w:t>
                  </w:r>
                </w:p>
              </w:tc>
            </w:tr>
            <w:tr w:rsidR="00383DBC" w:rsidRPr="00D50E7D" w14:paraId="5C2549A8" w14:textId="77777777" w:rsidTr="00D50E7D">
              <w:trPr>
                <w:jc w:val="center"/>
              </w:trPr>
              <w:tc>
                <w:tcPr>
                  <w:tcW w:w="1008" w:type="dxa"/>
                  <w:tcBorders>
                    <w:top w:val="single" w:sz="4" w:space="0" w:color="auto"/>
                    <w:left w:val="single" w:sz="4" w:space="0" w:color="auto"/>
                    <w:bottom w:val="single" w:sz="4" w:space="0" w:color="auto"/>
                    <w:right w:val="single" w:sz="4" w:space="0" w:color="auto"/>
                  </w:tcBorders>
                </w:tcPr>
                <w:p w14:paraId="6060E01F" w14:textId="77777777" w:rsidR="00383DBC" w:rsidRPr="00D50E7D" w:rsidRDefault="00383DBC" w:rsidP="00383DBC">
                  <w:pPr>
                    <w:rPr>
                      <w:rFonts w:eastAsia="MS MinNew Roman" w:cs="Times New Roman"/>
                      <w:b/>
                      <w:bCs/>
                      <w:szCs w:val="24"/>
                      <w:lang w:val="ru-RU"/>
                    </w:rPr>
                  </w:pPr>
                  <w:r w:rsidRPr="00D50E7D">
                    <w:rPr>
                      <w:rFonts w:eastAsia="MS MinNew Roman" w:cs="Times New Roman"/>
                      <w:b/>
                      <w:bCs/>
                      <w:szCs w:val="24"/>
                      <w:lang w:val="ru-RU"/>
                    </w:rPr>
                    <w:t>Плацебо</w:t>
                  </w:r>
                </w:p>
              </w:tc>
              <w:tc>
                <w:tcPr>
                  <w:tcW w:w="540" w:type="dxa"/>
                  <w:tcBorders>
                    <w:top w:val="single" w:sz="4" w:space="0" w:color="auto"/>
                    <w:left w:val="single" w:sz="4" w:space="0" w:color="auto"/>
                    <w:bottom w:val="single" w:sz="4" w:space="0" w:color="auto"/>
                    <w:right w:val="single" w:sz="4" w:space="0" w:color="auto"/>
                  </w:tcBorders>
                </w:tcPr>
                <w:p w14:paraId="7F82DFFF"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263</w:t>
                  </w:r>
                </w:p>
              </w:tc>
              <w:tc>
                <w:tcPr>
                  <w:tcW w:w="480" w:type="dxa"/>
                  <w:tcBorders>
                    <w:top w:val="single" w:sz="4" w:space="0" w:color="auto"/>
                    <w:left w:val="single" w:sz="4" w:space="0" w:color="auto"/>
                    <w:bottom w:val="single" w:sz="4" w:space="0" w:color="auto"/>
                    <w:right w:val="single" w:sz="4" w:space="0" w:color="auto"/>
                  </w:tcBorders>
                </w:tcPr>
                <w:p w14:paraId="5AD83890"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225</w:t>
                  </w:r>
                </w:p>
              </w:tc>
              <w:tc>
                <w:tcPr>
                  <w:tcW w:w="480" w:type="dxa"/>
                  <w:tcBorders>
                    <w:top w:val="single" w:sz="4" w:space="0" w:color="auto"/>
                    <w:left w:val="single" w:sz="4" w:space="0" w:color="auto"/>
                    <w:bottom w:val="single" w:sz="4" w:space="0" w:color="auto"/>
                    <w:right w:val="single" w:sz="4" w:space="0" w:color="auto"/>
                  </w:tcBorders>
                </w:tcPr>
                <w:p w14:paraId="33FEE120"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171</w:t>
                  </w:r>
                </w:p>
              </w:tc>
              <w:tc>
                <w:tcPr>
                  <w:tcW w:w="480" w:type="dxa"/>
                  <w:tcBorders>
                    <w:top w:val="single" w:sz="4" w:space="0" w:color="auto"/>
                    <w:left w:val="single" w:sz="4" w:space="0" w:color="auto"/>
                    <w:bottom w:val="single" w:sz="4" w:space="0" w:color="auto"/>
                    <w:right w:val="single" w:sz="4" w:space="0" w:color="auto"/>
                  </w:tcBorders>
                </w:tcPr>
                <w:p w14:paraId="540F6948"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115</w:t>
                  </w:r>
                </w:p>
              </w:tc>
              <w:tc>
                <w:tcPr>
                  <w:tcW w:w="480" w:type="dxa"/>
                  <w:tcBorders>
                    <w:top w:val="single" w:sz="4" w:space="0" w:color="auto"/>
                    <w:left w:val="single" w:sz="4" w:space="0" w:color="auto"/>
                    <w:bottom w:val="single" w:sz="4" w:space="0" w:color="auto"/>
                    <w:right w:val="single" w:sz="4" w:space="0" w:color="auto"/>
                  </w:tcBorders>
                </w:tcPr>
                <w:p w14:paraId="6E46D522"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68</w:t>
                  </w:r>
                </w:p>
              </w:tc>
              <w:tc>
                <w:tcPr>
                  <w:tcW w:w="480" w:type="dxa"/>
                  <w:tcBorders>
                    <w:top w:val="single" w:sz="4" w:space="0" w:color="auto"/>
                    <w:left w:val="single" w:sz="4" w:space="0" w:color="auto"/>
                    <w:bottom w:val="single" w:sz="4" w:space="0" w:color="auto"/>
                    <w:right w:val="single" w:sz="4" w:space="0" w:color="auto"/>
                  </w:tcBorders>
                </w:tcPr>
                <w:p w14:paraId="2E6B5B5C"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20</w:t>
                  </w:r>
                </w:p>
              </w:tc>
              <w:tc>
                <w:tcPr>
                  <w:tcW w:w="360" w:type="dxa"/>
                  <w:tcBorders>
                    <w:top w:val="single" w:sz="4" w:space="0" w:color="auto"/>
                    <w:left w:val="single" w:sz="4" w:space="0" w:color="auto"/>
                    <w:bottom w:val="single" w:sz="4" w:space="0" w:color="auto"/>
                    <w:right w:val="single" w:sz="4" w:space="0" w:color="auto"/>
                  </w:tcBorders>
                </w:tcPr>
                <w:p w14:paraId="679CA260"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0</w:t>
                  </w:r>
                </w:p>
              </w:tc>
              <w:tc>
                <w:tcPr>
                  <w:tcW w:w="240" w:type="dxa"/>
                  <w:tcBorders>
                    <w:top w:val="single" w:sz="4" w:space="0" w:color="auto"/>
                    <w:left w:val="single" w:sz="4" w:space="0" w:color="auto"/>
                    <w:bottom w:val="single" w:sz="4" w:space="0" w:color="auto"/>
                    <w:right w:val="single" w:sz="4" w:space="0" w:color="auto"/>
                  </w:tcBorders>
                </w:tcPr>
                <w:p w14:paraId="7F0E216D" w14:textId="77777777" w:rsidR="00383DBC" w:rsidRPr="00D50E7D" w:rsidRDefault="00383DBC" w:rsidP="00383DBC">
                  <w:pPr>
                    <w:rPr>
                      <w:rFonts w:eastAsia="MS MinNew Roman" w:cs="Times New Roman"/>
                      <w:szCs w:val="24"/>
                      <w:lang w:val="ru-RU"/>
                    </w:rPr>
                  </w:pPr>
                  <w:r w:rsidRPr="00D50E7D">
                    <w:rPr>
                      <w:rFonts w:eastAsia="MS MinNew Roman" w:cs="Times New Roman"/>
                      <w:szCs w:val="24"/>
                      <w:lang w:val="ru-RU"/>
                    </w:rPr>
                    <w:t>0</w:t>
                  </w:r>
                </w:p>
              </w:tc>
            </w:tr>
          </w:tbl>
          <w:p w14:paraId="1D87A400" w14:textId="77777777" w:rsidR="00383DBC" w:rsidRPr="00383DBC" w:rsidRDefault="00383DBC" w:rsidP="00383DBC">
            <w:pPr>
              <w:jc w:val="both"/>
              <w:rPr>
                <w:rFonts w:cs="Times New Roman"/>
                <w:sz w:val="24"/>
                <w:szCs w:val="24"/>
                <w:lang w:val="ru-RU"/>
              </w:rPr>
            </w:pPr>
          </w:p>
        </w:tc>
      </w:tr>
      <w:tr w:rsidR="00383DBC" w:rsidRPr="00383DBC" w14:paraId="65685B42" w14:textId="77777777" w:rsidTr="00482FB1">
        <w:tc>
          <w:tcPr>
            <w:tcW w:w="2534" w:type="dxa"/>
            <w:shd w:val="clear" w:color="auto" w:fill="auto"/>
          </w:tcPr>
          <w:p w14:paraId="027732C3" w14:textId="681ADA30" w:rsidR="00383DBC" w:rsidRPr="00383DBC" w:rsidRDefault="00383DBC" w:rsidP="00383DBC">
            <w:pPr>
              <w:jc w:val="right"/>
              <w:rPr>
                <w:rFonts w:cs="Times New Roman"/>
                <w:b/>
                <w:bCs/>
                <w:sz w:val="24"/>
                <w:szCs w:val="24"/>
                <w:lang w:val="ru-RU"/>
              </w:rPr>
            </w:pPr>
            <w:r w:rsidRPr="00383DBC">
              <w:rPr>
                <w:rFonts w:cs="Times New Roman"/>
                <w:b/>
                <w:bCs/>
                <w:noProof/>
                <w:sz w:val="24"/>
                <w:szCs w:val="24"/>
                <w:lang w:val="ru-RU" w:eastAsia="ru-RU"/>
              </w:rPr>
              <w:drawing>
                <wp:inline distT="0" distB="0" distL="0" distR="0" wp14:anchorId="7B893430" wp14:editId="2386092D">
                  <wp:extent cx="639445" cy="140335"/>
                  <wp:effectExtent l="0" t="0" r="825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9445" cy="140335"/>
                          </a:xfrm>
                          <a:prstGeom prst="rect">
                            <a:avLst/>
                          </a:prstGeom>
                          <a:noFill/>
                          <a:ln>
                            <a:noFill/>
                          </a:ln>
                        </pic:spPr>
                      </pic:pic>
                    </a:graphicData>
                  </a:graphic>
                </wp:inline>
              </w:drawing>
            </w:r>
          </w:p>
        </w:tc>
        <w:tc>
          <w:tcPr>
            <w:tcW w:w="2534" w:type="dxa"/>
            <w:shd w:val="clear" w:color="auto" w:fill="auto"/>
          </w:tcPr>
          <w:p w14:paraId="31E31053" w14:textId="77777777" w:rsidR="00383DBC" w:rsidRPr="00383DBC" w:rsidRDefault="00383DBC" w:rsidP="00383DBC">
            <w:pPr>
              <w:rPr>
                <w:rFonts w:cs="Times New Roman"/>
                <w:b/>
                <w:bCs/>
                <w:sz w:val="24"/>
                <w:szCs w:val="24"/>
                <w:lang w:val="ru-RU"/>
              </w:rPr>
            </w:pPr>
            <w:r w:rsidRPr="00383DBC">
              <w:rPr>
                <w:rFonts w:cs="Times New Roman"/>
                <w:b/>
                <w:bCs/>
                <w:sz w:val="24"/>
                <w:szCs w:val="24"/>
                <w:lang w:val="ru-RU"/>
              </w:rPr>
              <w:t>Сипонимод (N=516)</w:t>
            </w:r>
          </w:p>
        </w:tc>
        <w:tc>
          <w:tcPr>
            <w:tcW w:w="2534" w:type="dxa"/>
            <w:shd w:val="clear" w:color="auto" w:fill="auto"/>
          </w:tcPr>
          <w:p w14:paraId="6EF5FD72" w14:textId="3AF5C893" w:rsidR="00383DBC" w:rsidRPr="00383DBC" w:rsidRDefault="00383DBC" w:rsidP="00383DBC">
            <w:pPr>
              <w:jc w:val="right"/>
              <w:rPr>
                <w:rFonts w:cs="Times New Roman"/>
                <w:b/>
                <w:bCs/>
                <w:sz w:val="24"/>
                <w:szCs w:val="24"/>
                <w:lang w:val="ru-RU"/>
              </w:rPr>
            </w:pPr>
            <w:r w:rsidRPr="00383DBC">
              <w:rPr>
                <w:rFonts w:cs="Times New Roman"/>
                <w:b/>
                <w:bCs/>
                <w:noProof/>
                <w:sz w:val="24"/>
                <w:szCs w:val="24"/>
                <w:lang w:val="ru-RU" w:eastAsia="ru-RU"/>
              </w:rPr>
              <w:drawing>
                <wp:inline distT="0" distB="0" distL="0" distR="0" wp14:anchorId="59A416D6" wp14:editId="0D4F6C2E">
                  <wp:extent cx="628015" cy="123190"/>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8015" cy="123190"/>
                          </a:xfrm>
                          <a:prstGeom prst="rect">
                            <a:avLst/>
                          </a:prstGeom>
                          <a:noFill/>
                          <a:ln>
                            <a:noFill/>
                          </a:ln>
                        </pic:spPr>
                      </pic:pic>
                    </a:graphicData>
                  </a:graphic>
                </wp:inline>
              </w:drawing>
            </w:r>
          </w:p>
        </w:tc>
        <w:tc>
          <w:tcPr>
            <w:tcW w:w="2535" w:type="dxa"/>
            <w:shd w:val="clear" w:color="auto" w:fill="auto"/>
          </w:tcPr>
          <w:p w14:paraId="6E08DF38" w14:textId="77777777" w:rsidR="00383DBC" w:rsidRPr="00383DBC" w:rsidRDefault="00383DBC" w:rsidP="00383DBC">
            <w:pPr>
              <w:rPr>
                <w:rFonts w:cs="Times New Roman"/>
                <w:b/>
                <w:bCs/>
                <w:sz w:val="24"/>
                <w:szCs w:val="24"/>
                <w:lang w:val="ru-RU"/>
              </w:rPr>
            </w:pPr>
            <w:r w:rsidRPr="00383DBC">
              <w:rPr>
                <w:rFonts w:cs="Times New Roman"/>
                <w:b/>
                <w:bCs/>
                <w:sz w:val="24"/>
                <w:szCs w:val="24"/>
                <w:lang w:val="ru-RU"/>
              </w:rPr>
              <w:t>Плацебо (N=263)</w:t>
            </w:r>
          </w:p>
        </w:tc>
      </w:tr>
    </w:tbl>
    <w:p w14:paraId="328A6FAB" w14:textId="77777777" w:rsidR="00D50E7D" w:rsidRDefault="00D50E7D" w:rsidP="002B0543">
      <w:pPr>
        <w:jc w:val="both"/>
        <w:rPr>
          <w:rFonts w:cs="Times New Roman"/>
          <w:sz w:val="24"/>
          <w:szCs w:val="24"/>
          <w:lang w:val="ru-RU"/>
        </w:rPr>
      </w:pPr>
    </w:p>
    <w:p w14:paraId="6F81CCD0" w14:textId="3EE38060" w:rsidR="00383DBC" w:rsidRPr="00383DBC" w:rsidRDefault="00383DBC" w:rsidP="002B0543">
      <w:pPr>
        <w:jc w:val="both"/>
        <w:rPr>
          <w:rFonts w:cs="Times New Roman"/>
          <w:sz w:val="24"/>
          <w:szCs w:val="24"/>
          <w:lang w:val="ru-RU"/>
        </w:rPr>
      </w:pPr>
      <w:r w:rsidRPr="00383DBC">
        <w:rPr>
          <w:rFonts w:cs="Times New Roman"/>
          <w:sz w:val="24"/>
          <w:szCs w:val="24"/>
          <w:lang w:val="ru-RU"/>
        </w:rPr>
        <w:t xml:space="preserve">В подгруппе пациентов (n=827) без признаков и симптомов активности заболевания (к ним относились пациенты без рецидивов в течение 2 лет до начала исследования и без наличия Gd-усиленных поражений Т1 на исходном </w:t>
      </w:r>
      <w:r w:rsidR="00D50E7D">
        <w:rPr>
          <w:rFonts w:cs="Times New Roman"/>
          <w:sz w:val="24"/>
          <w:szCs w:val="24"/>
          <w:lang w:val="ru-RU"/>
        </w:rPr>
        <w:t>уровне) влияние сипонимода на 3</w:t>
      </w:r>
      <w:r w:rsidR="00D50E7D">
        <w:rPr>
          <w:rFonts w:cs="Times New Roman"/>
          <w:sz w:val="24"/>
          <w:szCs w:val="24"/>
          <w:lang w:val="ru-RU"/>
        </w:rPr>
        <w:noBreakHyphen/>
      </w:r>
      <w:r w:rsidRPr="00383DBC">
        <w:rPr>
          <w:rFonts w:cs="Times New Roman"/>
          <w:sz w:val="24"/>
          <w:szCs w:val="24"/>
          <w:lang w:val="ru-RU"/>
        </w:rPr>
        <w:t>месячное и 6-месячное кумулятивное прогрессирование инвалидности было небольшим (снижение риска составило 7</w:t>
      </w:r>
      <w:r w:rsidR="00D50E7D">
        <w:rPr>
          <w:rFonts w:cs="Times New Roman"/>
          <w:sz w:val="24"/>
          <w:szCs w:val="24"/>
          <w:lang w:val="ru-RU"/>
        </w:rPr>
        <w:t> </w:t>
      </w:r>
      <w:r w:rsidRPr="00383DBC">
        <w:rPr>
          <w:rFonts w:cs="Times New Roman"/>
          <w:sz w:val="24"/>
          <w:szCs w:val="24"/>
          <w:lang w:val="ru-RU"/>
        </w:rPr>
        <w:t>% и 13</w:t>
      </w:r>
      <w:r w:rsidR="00D50E7D">
        <w:rPr>
          <w:rFonts w:cs="Times New Roman"/>
          <w:sz w:val="24"/>
          <w:szCs w:val="24"/>
          <w:lang w:val="ru-RU"/>
        </w:rPr>
        <w:t> </w:t>
      </w:r>
      <w:r w:rsidRPr="00383DBC">
        <w:rPr>
          <w:rFonts w:cs="Times New Roman"/>
          <w:sz w:val="24"/>
          <w:szCs w:val="24"/>
          <w:lang w:val="ru-RU"/>
        </w:rPr>
        <w:t>%, соответственно).</w:t>
      </w:r>
    </w:p>
    <w:p w14:paraId="619B3F99" w14:textId="5791965E" w:rsidR="00383DBC" w:rsidRPr="00383DBC" w:rsidRDefault="00383DBC" w:rsidP="002B0543">
      <w:pPr>
        <w:jc w:val="both"/>
        <w:rPr>
          <w:rFonts w:cs="Times New Roman"/>
          <w:sz w:val="24"/>
          <w:szCs w:val="24"/>
          <w:lang w:val="ru-RU"/>
        </w:rPr>
      </w:pPr>
      <w:r w:rsidRPr="00383DBC">
        <w:rPr>
          <w:rFonts w:cs="Times New Roman"/>
          <w:sz w:val="24"/>
          <w:szCs w:val="24"/>
          <w:lang w:val="ru-RU"/>
        </w:rPr>
        <w:t xml:space="preserve">Проведенный позже анализ исследования A2304 (EXPAND) показал, что сипонимод отсрочил прогрессирование по шкале EDSS </w:t>
      </w:r>
      <w:r w:rsidRPr="00383DBC">
        <w:rPr>
          <w:rFonts w:cs="Times New Roman"/>
          <w:sz w:val="24"/>
          <w:szCs w:val="24"/>
          <w:u w:val="single"/>
          <w:lang w:val="ru-RU"/>
        </w:rPr>
        <w:t>&gt;</w:t>
      </w:r>
      <w:r w:rsidR="00D50E7D">
        <w:rPr>
          <w:rFonts w:cs="Times New Roman"/>
          <w:sz w:val="24"/>
          <w:szCs w:val="24"/>
          <w:lang w:val="ru-RU"/>
        </w:rPr>
        <w:t>7</w:t>
      </w:r>
      <w:r w:rsidRPr="00383DBC">
        <w:rPr>
          <w:rFonts w:cs="Times New Roman"/>
          <w:sz w:val="24"/>
          <w:szCs w:val="24"/>
          <w:lang w:val="ru-RU"/>
        </w:rPr>
        <w:t xml:space="preserve"> (сохраняющееся до конца исследования, т.е. время до перехода в инвалидное кресло), что</w:t>
      </w:r>
      <w:r w:rsidR="00D50E7D">
        <w:rPr>
          <w:rFonts w:cs="Times New Roman"/>
          <w:sz w:val="24"/>
          <w:szCs w:val="24"/>
          <w:lang w:val="ru-RU"/>
        </w:rPr>
        <w:t xml:space="preserve"> привело к снижению риска на 38 </w:t>
      </w:r>
      <w:r w:rsidRPr="00383DBC">
        <w:rPr>
          <w:rFonts w:cs="Times New Roman"/>
          <w:sz w:val="24"/>
          <w:szCs w:val="24"/>
          <w:lang w:val="ru-RU"/>
        </w:rPr>
        <w:t>% (соотношение рисков по модели Кокса 0,62; 95</w:t>
      </w:r>
      <w:r w:rsidR="00D50E7D">
        <w:rPr>
          <w:rFonts w:cs="Times New Roman"/>
          <w:sz w:val="24"/>
          <w:szCs w:val="24"/>
          <w:lang w:val="ru-RU"/>
        </w:rPr>
        <w:t> </w:t>
      </w:r>
      <w:r w:rsidRPr="00383DBC">
        <w:rPr>
          <w:rFonts w:cs="Times New Roman"/>
          <w:sz w:val="24"/>
          <w:szCs w:val="24"/>
          <w:lang w:val="ru-RU"/>
        </w:rPr>
        <w:t xml:space="preserve">% ДИ: 0,41, 0,92). По оценке Каплана-Мейера, процент пациентов, достигших показателя по шкале EDSS </w:t>
      </w:r>
      <w:r w:rsidRPr="00383DBC">
        <w:rPr>
          <w:rFonts w:cs="Times New Roman"/>
          <w:sz w:val="24"/>
          <w:szCs w:val="24"/>
          <w:u w:val="single"/>
          <w:lang w:val="ru-RU"/>
        </w:rPr>
        <w:t>&gt;</w:t>
      </w:r>
      <w:r w:rsidR="00D50E7D">
        <w:rPr>
          <w:rFonts w:cs="Times New Roman"/>
          <w:sz w:val="24"/>
          <w:szCs w:val="24"/>
          <w:lang w:val="ru-RU"/>
        </w:rPr>
        <w:t>7 в 24 месяца, составил 6,97 </w:t>
      </w:r>
      <w:r w:rsidRPr="00383DBC">
        <w:rPr>
          <w:rFonts w:cs="Times New Roman"/>
          <w:sz w:val="24"/>
          <w:szCs w:val="24"/>
          <w:lang w:val="ru-RU"/>
        </w:rPr>
        <w:t>% в группе пациенто</w:t>
      </w:r>
      <w:r w:rsidR="00D50E7D">
        <w:rPr>
          <w:rFonts w:cs="Times New Roman"/>
          <w:sz w:val="24"/>
          <w:szCs w:val="24"/>
          <w:lang w:val="ru-RU"/>
        </w:rPr>
        <w:t>в, получавших сипонимод, и 8,72 </w:t>
      </w:r>
      <w:r w:rsidRPr="00383DBC">
        <w:rPr>
          <w:rFonts w:cs="Times New Roman"/>
          <w:sz w:val="24"/>
          <w:szCs w:val="24"/>
          <w:lang w:val="ru-RU"/>
        </w:rPr>
        <w:t>% в группе пациентов, принимавших плацебо. В подгруппе пациентов с активным вторично-прогрессирующим рассеянным склерозом снижение риска составило 51</w:t>
      </w:r>
      <w:r w:rsidR="00D50E7D">
        <w:rPr>
          <w:rFonts w:cs="Times New Roman"/>
          <w:sz w:val="24"/>
          <w:szCs w:val="24"/>
          <w:lang w:val="ru-RU"/>
        </w:rPr>
        <w:t> </w:t>
      </w:r>
      <w:r w:rsidRPr="00383DBC">
        <w:rPr>
          <w:rFonts w:cs="Times New Roman"/>
          <w:sz w:val="24"/>
          <w:szCs w:val="24"/>
          <w:lang w:val="ru-RU"/>
        </w:rPr>
        <w:t>% (соотношение риска 0,49; 95</w:t>
      </w:r>
      <w:r w:rsidR="00D50E7D">
        <w:rPr>
          <w:rFonts w:cs="Times New Roman"/>
          <w:sz w:val="24"/>
          <w:szCs w:val="24"/>
          <w:lang w:val="ru-RU"/>
        </w:rPr>
        <w:t> </w:t>
      </w:r>
      <w:r w:rsidRPr="00383DBC">
        <w:rPr>
          <w:rFonts w:cs="Times New Roman"/>
          <w:sz w:val="24"/>
          <w:szCs w:val="24"/>
          <w:lang w:val="ru-RU"/>
        </w:rPr>
        <w:t>% ДИ: 0,27, 0,90), а оценка по Каплану-Мейеру в 24</w:t>
      </w:r>
      <w:r w:rsidR="00D50E7D">
        <w:rPr>
          <w:rFonts w:cs="Times New Roman"/>
          <w:sz w:val="24"/>
          <w:szCs w:val="24"/>
          <w:lang w:val="ru-RU"/>
        </w:rPr>
        <w:t> </w:t>
      </w:r>
      <w:r w:rsidRPr="00383DBC">
        <w:rPr>
          <w:rFonts w:cs="Times New Roman"/>
          <w:sz w:val="24"/>
          <w:szCs w:val="24"/>
          <w:lang w:val="ru-RU"/>
        </w:rPr>
        <w:t>месяца составила 6,51</w:t>
      </w:r>
      <w:r w:rsidR="00D50E7D">
        <w:rPr>
          <w:rFonts w:cs="Times New Roman"/>
          <w:sz w:val="24"/>
          <w:szCs w:val="24"/>
          <w:lang w:val="ru-RU"/>
        </w:rPr>
        <w:t> </w:t>
      </w:r>
      <w:r w:rsidRPr="00383DBC">
        <w:rPr>
          <w:rFonts w:cs="Times New Roman"/>
          <w:sz w:val="24"/>
          <w:szCs w:val="24"/>
          <w:lang w:val="ru-RU"/>
        </w:rPr>
        <w:t>% в группе пациентов, принимавших сипонимод, и 8,69</w:t>
      </w:r>
      <w:r w:rsidR="00D50E7D">
        <w:rPr>
          <w:rFonts w:cs="Times New Roman"/>
          <w:sz w:val="24"/>
          <w:szCs w:val="24"/>
          <w:lang w:val="ru-RU"/>
        </w:rPr>
        <w:t> </w:t>
      </w:r>
      <w:r w:rsidRPr="00383DBC">
        <w:rPr>
          <w:rFonts w:cs="Times New Roman"/>
          <w:sz w:val="24"/>
          <w:szCs w:val="24"/>
          <w:lang w:val="ru-RU"/>
        </w:rPr>
        <w:t>% в группе, получавшей плацебо. Поскольку полученные результаты носили исследовательский характер, их следует интерпретировать с осторожностью.</w:t>
      </w:r>
    </w:p>
    <w:p w14:paraId="1BE3AA20" w14:textId="77777777" w:rsidR="00383DBC" w:rsidRPr="00383DBC" w:rsidRDefault="00383DBC" w:rsidP="002B0543">
      <w:pPr>
        <w:jc w:val="both"/>
        <w:rPr>
          <w:rFonts w:cs="Times New Roman"/>
          <w:sz w:val="24"/>
          <w:szCs w:val="24"/>
          <w:u w:val="single"/>
          <w:lang w:val="ru-RU"/>
        </w:rPr>
      </w:pPr>
      <w:r w:rsidRPr="00383DBC">
        <w:rPr>
          <w:rFonts w:cs="Times New Roman"/>
          <w:sz w:val="24"/>
          <w:szCs w:val="24"/>
          <w:u w:val="single"/>
          <w:lang w:val="ru-RU"/>
        </w:rPr>
        <w:t>Дети</w:t>
      </w:r>
    </w:p>
    <w:p w14:paraId="0802436D" w14:textId="77777777" w:rsidR="00383DBC" w:rsidRPr="00383DBC" w:rsidRDefault="00383DBC" w:rsidP="002B0543">
      <w:pPr>
        <w:jc w:val="both"/>
        <w:rPr>
          <w:rFonts w:cs="Times New Roman"/>
          <w:sz w:val="24"/>
          <w:szCs w:val="24"/>
          <w:lang w:val="ru-RU"/>
        </w:rPr>
      </w:pPr>
      <w:r w:rsidRPr="00383DBC">
        <w:rPr>
          <w:rFonts w:cs="Times New Roman"/>
          <w:sz w:val="24"/>
          <w:szCs w:val="24"/>
          <w:lang w:val="ru-RU"/>
        </w:rPr>
        <w:t>Европейское агентство по лекарственным средствам отложило обязательство представить результаты исследований сипонимода в одной или нескольких подгруппах детей, применяемых для лечения рассеянного склероза (см. раздел 4.2 для получения информации о применении в педиатрии).</w:t>
      </w:r>
    </w:p>
    <w:p w14:paraId="11341792" w14:textId="77777777" w:rsidR="004B7342" w:rsidRPr="00383DBC" w:rsidRDefault="004B7342" w:rsidP="002B0543">
      <w:pPr>
        <w:shd w:val="clear" w:color="auto" w:fill="FFFFFF"/>
        <w:jc w:val="both"/>
        <w:rPr>
          <w:rFonts w:eastAsia="Times New Roman" w:cs="Times New Roman"/>
          <w:color w:val="000000"/>
          <w:sz w:val="24"/>
          <w:szCs w:val="24"/>
          <w:lang w:val="ru-RU" w:eastAsia="uk-UA"/>
        </w:rPr>
      </w:pPr>
    </w:p>
    <w:p w14:paraId="5F2B29DC" w14:textId="73646CCD" w:rsidR="00A57ED4" w:rsidRPr="00D50E7D" w:rsidRDefault="00A93F9E" w:rsidP="002B0543">
      <w:pPr>
        <w:autoSpaceDE w:val="0"/>
        <w:autoSpaceDN w:val="0"/>
        <w:adjustRightInd w:val="0"/>
        <w:jc w:val="both"/>
        <w:rPr>
          <w:rFonts w:eastAsia="TimesNewRomanPSMT" w:cs="Times New Roman"/>
          <w:b/>
          <w:sz w:val="24"/>
          <w:szCs w:val="24"/>
          <w:lang w:val="ru-RU" w:eastAsia="ru-RU"/>
        </w:rPr>
      </w:pPr>
      <w:bookmarkStart w:id="39" w:name="_i4i3WkgOUGy1Udj9luzJ2H7vL"/>
      <w:bookmarkStart w:id="40" w:name="_i4i2nqwaoU9lj1M48twMGDwrM"/>
      <w:bookmarkEnd w:id="39"/>
      <w:bookmarkEnd w:id="40"/>
      <w:r w:rsidRPr="00383DBC">
        <w:rPr>
          <w:rFonts w:eastAsia="Times New Roman" w:cs="Times New Roman"/>
          <w:b/>
          <w:sz w:val="24"/>
          <w:szCs w:val="24"/>
          <w:lang w:val="ru-RU" w:eastAsia="ru-RU"/>
        </w:rPr>
        <w:t xml:space="preserve">5.2 </w:t>
      </w:r>
      <w:r w:rsidRPr="00383DBC">
        <w:rPr>
          <w:rFonts w:eastAsia="TimesNewRomanPSMT" w:cs="Times New Roman"/>
          <w:b/>
          <w:sz w:val="24"/>
          <w:szCs w:val="24"/>
          <w:lang w:val="ru-RU" w:eastAsia="ru-RU"/>
        </w:rPr>
        <w:t>Фармакокинетические сво</w:t>
      </w:r>
      <w:r w:rsidR="00383DBC" w:rsidRPr="00383DBC">
        <w:rPr>
          <w:rFonts w:eastAsia="TimesNewRomanPSMT" w:cs="Times New Roman"/>
          <w:b/>
          <w:sz w:val="24"/>
          <w:szCs w:val="24"/>
          <w:lang w:val="ru-RU" w:eastAsia="ru-RU"/>
        </w:rPr>
        <w:t>йства</w:t>
      </w:r>
    </w:p>
    <w:p w14:paraId="733EAF3F" w14:textId="77777777" w:rsidR="00D50E7D" w:rsidRDefault="00D50E7D" w:rsidP="002B0543">
      <w:pPr>
        <w:jc w:val="both"/>
        <w:rPr>
          <w:rFonts w:cs="Times New Roman"/>
          <w:sz w:val="24"/>
          <w:szCs w:val="24"/>
          <w:u w:val="single"/>
          <w:lang w:val="ru-RU"/>
        </w:rPr>
      </w:pPr>
      <w:r w:rsidRPr="00D50E7D">
        <w:rPr>
          <w:rFonts w:cs="Times New Roman"/>
          <w:sz w:val="24"/>
          <w:szCs w:val="24"/>
          <w:u w:val="single"/>
          <w:lang w:val="ru-RU"/>
        </w:rPr>
        <w:t>Абсорбция</w:t>
      </w:r>
    </w:p>
    <w:p w14:paraId="53BA3803" w14:textId="7208BA48" w:rsidR="00383DBC" w:rsidRPr="00383DBC" w:rsidRDefault="00383DBC" w:rsidP="002B0543">
      <w:pPr>
        <w:jc w:val="both"/>
        <w:rPr>
          <w:rFonts w:cs="Times New Roman"/>
          <w:sz w:val="24"/>
          <w:szCs w:val="24"/>
          <w:lang w:val="ru-RU"/>
        </w:rPr>
      </w:pPr>
      <w:r w:rsidRPr="00383DBC">
        <w:rPr>
          <w:rFonts w:cs="Times New Roman"/>
          <w:sz w:val="24"/>
          <w:szCs w:val="24"/>
          <w:lang w:val="ru-RU"/>
        </w:rPr>
        <w:lastRenderedPageBreak/>
        <w:t>Время (T</w:t>
      </w:r>
      <w:r w:rsidRPr="00383DBC">
        <w:rPr>
          <w:rFonts w:cs="Times New Roman"/>
          <w:sz w:val="24"/>
          <w:szCs w:val="24"/>
          <w:vertAlign w:val="subscript"/>
          <w:lang w:val="ru-RU"/>
        </w:rPr>
        <w:t>max</w:t>
      </w:r>
      <w:r w:rsidRPr="00383DBC">
        <w:rPr>
          <w:rFonts w:cs="Times New Roman"/>
          <w:sz w:val="24"/>
          <w:szCs w:val="24"/>
          <w:lang w:val="ru-RU"/>
        </w:rPr>
        <w:t>) достижения максимальных концентраций в плазме крови (C</w:t>
      </w:r>
      <w:r w:rsidRPr="00383DBC">
        <w:rPr>
          <w:rFonts w:cs="Times New Roman"/>
          <w:sz w:val="24"/>
          <w:szCs w:val="24"/>
          <w:vertAlign w:val="subscript"/>
          <w:lang w:val="ru-RU"/>
        </w:rPr>
        <w:t>max</w:t>
      </w:r>
      <w:r w:rsidRPr="00383DBC">
        <w:rPr>
          <w:rFonts w:cs="Times New Roman"/>
          <w:sz w:val="24"/>
          <w:szCs w:val="24"/>
          <w:lang w:val="ru-RU"/>
        </w:rPr>
        <w:t>) после многократного перорального приема сипонимода составляет около 4 часов (диапазон: от 2 до 12 часов). Поглощение сипонимода происходит в значительной степени (</w:t>
      </w:r>
      <w:r w:rsidRPr="00383DBC">
        <w:rPr>
          <w:rFonts w:cs="Times New Roman"/>
          <w:sz w:val="24"/>
          <w:szCs w:val="24"/>
          <w:u w:val="single"/>
          <w:lang w:val="ru-RU"/>
        </w:rPr>
        <w:t>&gt;</w:t>
      </w:r>
      <w:r w:rsidRPr="00383DBC">
        <w:rPr>
          <w:rFonts w:cs="Times New Roman"/>
          <w:sz w:val="24"/>
          <w:szCs w:val="24"/>
          <w:lang w:val="ru-RU"/>
        </w:rPr>
        <w:t>70</w:t>
      </w:r>
      <w:r w:rsidR="00D50E7D">
        <w:rPr>
          <w:rFonts w:cs="Times New Roman"/>
          <w:sz w:val="24"/>
          <w:szCs w:val="24"/>
          <w:lang w:val="ru-RU"/>
        </w:rPr>
        <w:t> </w:t>
      </w:r>
      <w:r w:rsidRPr="00383DBC">
        <w:rPr>
          <w:rFonts w:cs="Times New Roman"/>
          <w:sz w:val="24"/>
          <w:szCs w:val="24"/>
          <w:lang w:val="ru-RU"/>
        </w:rPr>
        <w:t>%, исходя из количества радиоактивных веществ, выведенных с мочой, и количества метаболитов в кале, экстраполированных до бесконечности). Абсолютная пероральная биодоступность сипонимода составляет около 84%. При приеме 2 мг сипонимода один раз в день в течение 10 дней средняя C</w:t>
      </w:r>
      <w:r w:rsidRPr="00383DBC">
        <w:rPr>
          <w:rFonts w:cs="Times New Roman"/>
          <w:sz w:val="24"/>
          <w:szCs w:val="24"/>
          <w:vertAlign w:val="subscript"/>
          <w:lang w:val="ru-RU"/>
        </w:rPr>
        <w:t>max</w:t>
      </w:r>
      <w:r w:rsidRPr="00383DBC">
        <w:rPr>
          <w:rFonts w:cs="Times New Roman"/>
          <w:sz w:val="24"/>
          <w:szCs w:val="24"/>
          <w:lang w:val="ru-RU"/>
        </w:rPr>
        <w:t xml:space="preserve"> составила 30,4 нг/мл, а средняя AUC</w:t>
      </w:r>
      <w:r w:rsidRPr="00383DBC">
        <w:rPr>
          <w:rFonts w:cs="Times New Roman"/>
          <w:sz w:val="24"/>
          <w:szCs w:val="24"/>
          <w:vertAlign w:val="subscript"/>
          <w:lang w:val="ru-RU"/>
        </w:rPr>
        <w:t>tau</w:t>
      </w:r>
      <w:r w:rsidRPr="00383DBC">
        <w:rPr>
          <w:rFonts w:cs="Times New Roman"/>
          <w:sz w:val="24"/>
          <w:szCs w:val="24"/>
          <w:lang w:val="ru-RU"/>
        </w:rPr>
        <w:t xml:space="preserve"> </w:t>
      </w:r>
      <w:r w:rsidR="00D50E7D">
        <w:rPr>
          <w:rFonts w:cs="Times New Roman"/>
          <w:sz w:val="24"/>
          <w:szCs w:val="24"/>
          <w:lang w:val="ru-RU"/>
        </w:rPr>
        <w:t>–</w:t>
      </w:r>
      <w:r w:rsidRPr="00383DBC">
        <w:rPr>
          <w:rFonts w:cs="Times New Roman"/>
          <w:sz w:val="24"/>
          <w:szCs w:val="24"/>
          <w:lang w:val="ru-RU"/>
        </w:rPr>
        <w:t xml:space="preserve"> 558</w:t>
      </w:r>
      <w:r w:rsidR="00D50E7D">
        <w:rPr>
          <w:rFonts w:cs="Times New Roman"/>
          <w:sz w:val="24"/>
          <w:szCs w:val="24"/>
          <w:lang w:val="ru-RU"/>
        </w:rPr>
        <w:t> </w:t>
      </w:r>
      <w:r w:rsidRPr="00383DBC">
        <w:rPr>
          <w:rFonts w:cs="Times New Roman"/>
          <w:sz w:val="24"/>
          <w:szCs w:val="24"/>
          <w:lang w:val="ru-RU"/>
        </w:rPr>
        <w:t>ч*нг/мл на 10-й день. Устойчивое состояние было достигнуто примерно через 6 дней многократного приема сипонимода один раз в день.</w:t>
      </w:r>
    </w:p>
    <w:p w14:paraId="6B9F8C57" w14:textId="77777777" w:rsidR="00D50E7D" w:rsidRDefault="00383DBC" w:rsidP="002B0543">
      <w:pPr>
        <w:jc w:val="both"/>
        <w:rPr>
          <w:rFonts w:cs="Times New Roman"/>
          <w:sz w:val="24"/>
          <w:szCs w:val="24"/>
          <w:lang w:val="ru-RU"/>
        </w:rPr>
      </w:pPr>
      <w:r w:rsidRPr="00383DBC">
        <w:rPr>
          <w:rFonts w:cs="Times New Roman"/>
          <w:sz w:val="24"/>
          <w:szCs w:val="24"/>
          <w:lang w:val="ru-RU"/>
        </w:rPr>
        <w:t>Несмотря на задержку T</w:t>
      </w:r>
      <w:r w:rsidRPr="00383DBC">
        <w:rPr>
          <w:rFonts w:cs="Times New Roman"/>
          <w:sz w:val="24"/>
          <w:szCs w:val="24"/>
          <w:vertAlign w:val="subscript"/>
          <w:lang w:val="ru-RU"/>
        </w:rPr>
        <w:t>max</w:t>
      </w:r>
      <w:r w:rsidRPr="00383DBC">
        <w:rPr>
          <w:rFonts w:cs="Times New Roman"/>
          <w:sz w:val="24"/>
          <w:szCs w:val="24"/>
          <w:lang w:val="ru-RU"/>
        </w:rPr>
        <w:t xml:space="preserve"> до 8 часов после приема разовой дозы, прием пищи не оказывал влияния на системную экспозицию сипонимода (C</w:t>
      </w:r>
      <w:r w:rsidRPr="00383DBC">
        <w:rPr>
          <w:rFonts w:cs="Times New Roman"/>
          <w:sz w:val="24"/>
          <w:szCs w:val="24"/>
          <w:vertAlign w:val="subscript"/>
          <w:lang w:val="ru-RU"/>
        </w:rPr>
        <w:t>max</w:t>
      </w:r>
      <w:r w:rsidRPr="00383DBC">
        <w:rPr>
          <w:rFonts w:cs="Times New Roman"/>
          <w:sz w:val="24"/>
          <w:szCs w:val="24"/>
          <w:lang w:val="ru-RU"/>
        </w:rPr>
        <w:t xml:space="preserve"> и AUC), поэтому сипонимод можно принимать без учет</w:t>
      </w:r>
      <w:r w:rsidR="00D50E7D">
        <w:rPr>
          <w:rFonts w:cs="Times New Roman"/>
          <w:sz w:val="24"/>
          <w:szCs w:val="24"/>
          <w:lang w:val="ru-RU"/>
        </w:rPr>
        <w:t>а приема пищи (см. раздел 4.2).</w:t>
      </w:r>
    </w:p>
    <w:p w14:paraId="6BD4CDDC" w14:textId="62D7D65F" w:rsidR="00383DBC" w:rsidRPr="00D50E7D" w:rsidRDefault="00383DBC" w:rsidP="002B0543">
      <w:pPr>
        <w:jc w:val="both"/>
        <w:rPr>
          <w:rFonts w:cs="Times New Roman"/>
          <w:sz w:val="24"/>
          <w:szCs w:val="24"/>
          <w:lang w:val="ru-RU"/>
        </w:rPr>
      </w:pPr>
      <w:r w:rsidRPr="00383DBC">
        <w:rPr>
          <w:rFonts w:cs="Times New Roman"/>
          <w:sz w:val="24"/>
          <w:szCs w:val="24"/>
          <w:u w:val="single"/>
          <w:lang w:val="ru-RU"/>
        </w:rPr>
        <w:t>Распределение</w:t>
      </w:r>
    </w:p>
    <w:p w14:paraId="5DEA5EC4" w14:textId="7CB1DF4B" w:rsidR="00383DBC" w:rsidRPr="00383DBC" w:rsidRDefault="00383DBC" w:rsidP="002B0543">
      <w:pPr>
        <w:jc w:val="both"/>
        <w:rPr>
          <w:rFonts w:cs="Times New Roman"/>
          <w:sz w:val="24"/>
          <w:szCs w:val="24"/>
          <w:lang w:val="ru-RU"/>
        </w:rPr>
      </w:pPr>
      <w:r w:rsidRPr="00383DBC">
        <w:rPr>
          <w:rFonts w:cs="Times New Roman"/>
          <w:sz w:val="24"/>
          <w:szCs w:val="24"/>
          <w:lang w:val="ru-RU"/>
        </w:rPr>
        <w:t>Сипонимод распределяется в тканях организма с умеренным средним объемом распределения 124 литра. Фракция сипонимода в плазме крови у человека составляет 68</w:t>
      </w:r>
      <w:r w:rsidR="00D50E7D">
        <w:rPr>
          <w:rFonts w:cs="Times New Roman"/>
          <w:sz w:val="24"/>
          <w:szCs w:val="24"/>
          <w:lang w:val="ru-RU"/>
        </w:rPr>
        <w:t> </w:t>
      </w:r>
      <w:r w:rsidRPr="00383DBC">
        <w:rPr>
          <w:rFonts w:cs="Times New Roman"/>
          <w:sz w:val="24"/>
          <w:szCs w:val="24"/>
          <w:lang w:val="ru-RU"/>
        </w:rPr>
        <w:t>%. Сипонимод легко преодолевает гематоэнцефалический барьер. Связывание</w:t>
      </w:r>
      <w:r w:rsidR="00D50E7D">
        <w:rPr>
          <w:rFonts w:cs="Times New Roman"/>
          <w:sz w:val="24"/>
          <w:szCs w:val="24"/>
          <w:lang w:val="ru-RU"/>
        </w:rPr>
        <w:t> </w:t>
      </w:r>
      <w:r w:rsidRPr="00383DBC">
        <w:rPr>
          <w:rFonts w:cs="Times New Roman"/>
          <w:sz w:val="24"/>
          <w:szCs w:val="24"/>
          <w:lang w:val="ru-RU"/>
        </w:rPr>
        <w:t>сипонимода с белками составляет &gt;99,9</w:t>
      </w:r>
      <w:r w:rsidR="00D50E7D">
        <w:rPr>
          <w:rFonts w:cs="Times New Roman"/>
          <w:sz w:val="24"/>
          <w:szCs w:val="24"/>
          <w:lang w:val="ru-RU"/>
        </w:rPr>
        <w:t> </w:t>
      </w:r>
      <w:r w:rsidRPr="00383DBC">
        <w:rPr>
          <w:rFonts w:cs="Times New Roman"/>
          <w:sz w:val="24"/>
          <w:szCs w:val="24"/>
          <w:lang w:val="ru-RU"/>
        </w:rPr>
        <w:t>% у здоровых людей и у пациентов с печеночной или почечной недостаточностью.</w:t>
      </w:r>
    </w:p>
    <w:p w14:paraId="03426A23" w14:textId="77777777" w:rsidR="00383DBC" w:rsidRPr="00383DBC" w:rsidRDefault="00383DBC" w:rsidP="002B0543">
      <w:pPr>
        <w:jc w:val="both"/>
        <w:rPr>
          <w:rFonts w:cs="Times New Roman"/>
          <w:sz w:val="24"/>
          <w:szCs w:val="24"/>
          <w:u w:val="single"/>
          <w:lang w:val="ru-RU"/>
        </w:rPr>
      </w:pPr>
      <w:r w:rsidRPr="00383DBC">
        <w:rPr>
          <w:rFonts w:cs="Times New Roman"/>
          <w:sz w:val="24"/>
          <w:szCs w:val="24"/>
          <w:u w:val="single"/>
          <w:lang w:val="ru-RU"/>
        </w:rPr>
        <w:t>Биотрансформация</w:t>
      </w:r>
    </w:p>
    <w:p w14:paraId="45104E96" w14:textId="1969F51E" w:rsidR="00383DBC" w:rsidRPr="00383DBC" w:rsidRDefault="00383DBC" w:rsidP="002B0543">
      <w:pPr>
        <w:jc w:val="both"/>
        <w:rPr>
          <w:rFonts w:cs="Times New Roman"/>
          <w:sz w:val="24"/>
          <w:szCs w:val="24"/>
          <w:lang w:val="ru-RU"/>
        </w:rPr>
      </w:pPr>
      <w:r w:rsidRPr="00383DBC">
        <w:rPr>
          <w:rFonts w:cs="Times New Roman"/>
          <w:sz w:val="24"/>
          <w:szCs w:val="24"/>
          <w:lang w:val="ru-RU"/>
        </w:rPr>
        <w:t>Сипонимод интенсивно метаболизируется, в основном цитохромом P450 2C9 (CYP2C9) (79,3</w:t>
      </w:r>
      <w:r w:rsidR="00D50E7D">
        <w:rPr>
          <w:rFonts w:cs="Times New Roman"/>
          <w:sz w:val="24"/>
          <w:szCs w:val="24"/>
          <w:lang w:val="ru-RU"/>
        </w:rPr>
        <w:t> </w:t>
      </w:r>
      <w:r w:rsidRPr="00383DBC">
        <w:rPr>
          <w:rFonts w:cs="Times New Roman"/>
          <w:sz w:val="24"/>
          <w:szCs w:val="24"/>
          <w:lang w:val="ru-RU"/>
        </w:rPr>
        <w:t>%), и в меньшей степени цитохромом P450 3A4 (CYP3A4) (18,5</w:t>
      </w:r>
      <w:r w:rsidR="00D50E7D">
        <w:rPr>
          <w:rFonts w:cs="Times New Roman"/>
          <w:sz w:val="24"/>
          <w:szCs w:val="24"/>
          <w:lang w:val="ru-RU"/>
        </w:rPr>
        <w:t xml:space="preserve"> %). </w:t>
      </w:r>
      <w:r w:rsidRPr="00383DBC">
        <w:rPr>
          <w:rFonts w:cs="Times New Roman"/>
          <w:sz w:val="24"/>
          <w:szCs w:val="24"/>
          <w:lang w:val="ru-RU"/>
        </w:rPr>
        <w:t>Предполагается, что фармакологическая активность основных метаболитов M3 и M17 не влияет на клинический эффект и безо</w:t>
      </w:r>
      <w:r w:rsidR="00D50E7D">
        <w:rPr>
          <w:rFonts w:cs="Times New Roman"/>
          <w:sz w:val="24"/>
          <w:szCs w:val="24"/>
          <w:lang w:val="ru-RU"/>
        </w:rPr>
        <w:t xml:space="preserve">пасность сипонимода у человека. </w:t>
      </w:r>
      <w:r w:rsidRPr="00383DBC">
        <w:rPr>
          <w:rFonts w:cs="Times New Roman"/>
          <w:sz w:val="24"/>
          <w:szCs w:val="24"/>
          <w:lang w:val="ru-RU"/>
        </w:rPr>
        <w:t xml:space="preserve">Исследования </w:t>
      </w:r>
      <w:r w:rsidRPr="00383DBC">
        <w:rPr>
          <w:rFonts w:cs="Times New Roman"/>
          <w:i/>
          <w:iCs/>
          <w:sz w:val="24"/>
          <w:szCs w:val="24"/>
          <w:lang w:val="ru-RU"/>
        </w:rPr>
        <w:t>in vitro</w:t>
      </w:r>
      <w:r w:rsidRPr="00383DBC">
        <w:rPr>
          <w:rFonts w:cs="Times New Roman"/>
          <w:sz w:val="24"/>
          <w:szCs w:val="24"/>
          <w:lang w:val="ru-RU"/>
        </w:rPr>
        <w:t xml:space="preserve"> показали, что сипонимод и его основные системные метаболиты М3 и М17 не проявляют клинически значимого потенциала лекарственного взаимодействия при терапевтической дозе 2 мг 1 раз в сутки для всех исследованных ферментов CYP и переносчиков, и не тр</w:t>
      </w:r>
      <w:r w:rsidR="00D50E7D">
        <w:rPr>
          <w:rFonts w:cs="Times New Roman"/>
          <w:sz w:val="24"/>
          <w:szCs w:val="24"/>
          <w:lang w:val="ru-RU"/>
        </w:rPr>
        <w:t xml:space="preserve">ебуют клинических исследований. </w:t>
      </w:r>
      <w:r w:rsidRPr="00383DBC">
        <w:rPr>
          <w:rFonts w:cs="Times New Roman"/>
          <w:sz w:val="24"/>
          <w:szCs w:val="24"/>
          <w:lang w:val="ru-RU"/>
        </w:rPr>
        <w:t>CYP2C9</w:t>
      </w:r>
      <w:r w:rsidR="00D50E7D">
        <w:rPr>
          <w:rFonts w:cs="Times New Roman"/>
          <w:sz w:val="24"/>
          <w:szCs w:val="24"/>
          <w:lang w:val="ru-RU"/>
        </w:rPr>
        <w:t> </w:t>
      </w:r>
      <w:r w:rsidRPr="00383DBC">
        <w:rPr>
          <w:rFonts w:cs="Times New Roman"/>
          <w:sz w:val="24"/>
          <w:szCs w:val="24"/>
          <w:lang w:val="ru-RU"/>
        </w:rPr>
        <w:t>является полиморфным, и генотип влияет на долю вклада двух путей окислительного метаболизма в общее выведение препарата. Физиологически обоснованное фармакокинетическое моделирование указывает на дифференцированное ингибирование и индукцию путей CYP3A4 в зависимости от генотипа CYP2C9. При</w:t>
      </w:r>
      <w:r w:rsidR="00D50E7D">
        <w:rPr>
          <w:rFonts w:cs="Times New Roman"/>
          <w:sz w:val="24"/>
          <w:szCs w:val="24"/>
          <w:lang w:val="ru-RU"/>
        </w:rPr>
        <w:t> </w:t>
      </w:r>
      <w:r w:rsidRPr="00383DBC">
        <w:rPr>
          <w:rFonts w:cs="Times New Roman"/>
          <w:sz w:val="24"/>
          <w:szCs w:val="24"/>
          <w:lang w:val="ru-RU"/>
        </w:rPr>
        <w:t>снижении метаболической активности CYP2C9 в соответствующих генотипах ожидается более значительное влияние возбудителей CYP3A4 на выведение сипонимода (см. раздел 4.5).</w:t>
      </w:r>
    </w:p>
    <w:p w14:paraId="3F62CAF1" w14:textId="77777777" w:rsidR="00D50E7D" w:rsidRDefault="00D50E7D" w:rsidP="002B0543">
      <w:pPr>
        <w:jc w:val="both"/>
        <w:rPr>
          <w:rFonts w:cs="Times New Roman"/>
          <w:sz w:val="24"/>
          <w:szCs w:val="24"/>
          <w:u w:val="single"/>
          <w:lang w:val="ru-RU"/>
        </w:rPr>
      </w:pPr>
      <w:r w:rsidRPr="00D50E7D">
        <w:rPr>
          <w:rFonts w:cs="Times New Roman"/>
          <w:sz w:val="24"/>
          <w:szCs w:val="24"/>
          <w:u w:val="single"/>
          <w:lang w:val="ru-RU"/>
        </w:rPr>
        <w:t>Элиминация</w:t>
      </w:r>
    </w:p>
    <w:p w14:paraId="3D9B1582" w14:textId="5162F7D1" w:rsidR="00383DBC" w:rsidRPr="00383DBC" w:rsidRDefault="00383DBC" w:rsidP="002B0543">
      <w:pPr>
        <w:jc w:val="both"/>
        <w:rPr>
          <w:rFonts w:cs="Times New Roman"/>
          <w:sz w:val="24"/>
          <w:szCs w:val="24"/>
          <w:lang w:val="ru-RU"/>
        </w:rPr>
      </w:pPr>
      <w:r w:rsidRPr="00383DBC">
        <w:rPr>
          <w:rFonts w:cs="Times New Roman"/>
          <w:sz w:val="24"/>
          <w:szCs w:val="24"/>
          <w:lang w:val="ru-RU"/>
        </w:rPr>
        <w:t>У пациентов с рассеянным склерозом кажущийся системный клиренс (CL/F) составил 3,11 л/ч. Кажущийся период полувыведения сипони</w:t>
      </w:r>
      <w:r w:rsidR="00D50E7D">
        <w:rPr>
          <w:rFonts w:cs="Times New Roman"/>
          <w:sz w:val="24"/>
          <w:szCs w:val="24"/>
          <w:lang w:val="ru-RU"/>
        </w:rPr>
        <w:t xml:space="preserve">мода составляет около 30 часов. </w:t>
      </w:r>
      <w:r w:rsidRPr="00383DBC">
        <w:rPr>
          <w:rFonts w:cs="Times New Roman"/>
          <w:sz w:val="24"/>
          <w:szCs w:val="24"/>
          <w:lang w:val="ru-RU"/>
        </w:rPr>
        <w:t>Сипонимод выводится из системной циркуляции в основном за счет метаболизма и последующего выведения с желчью/фекалиями. Неизмененный сипонимод не был обнаружен в моче.</w:t>
      </w:r>
    </w:p>
    <w:p w14:paraId="0194E523" w14:textId="77777777" w:rsidR="00383DBC" w:rsidRPr="00383DBC" w:rsidRDefault="00383DBC" w:rsidP="002B0543">
      <w:pPr>
        <w:jc w:val="both"/>
        <w:rPr>
          <w:rFonts w:cs="Times New Roman"/>
          <w:sz w:val="24"/>
          <w:szCs w:val="24"/>
          <w:u w:val="single"/>
          <w:lang w:val="ru-RU"/>
        </w:rPr>
      </w:pPr>
      <w:r w:rsidRPr="00383DBC">
        <w:rPr>
          <w:rFonts w:cs="Times New Roman"/>
          <w:sz w:val="24"/>
          <w:szCs w:val="24"/>
          <w:u w:val="single"/>
          <w:lang w:val="ru-RU"/>
        </w:rPr>
        <w:t>Линейность</w:t>
      </w:r>
    </w:p>
    <w:p w14:paraId="1EF9D1EF" w14:textId="51D92091" w:rsidR="00383DBC" w:rsidRPr="00383DBC" w:rsidRDefault="00383DBC" w:rsidP="002B0543">
      <w:pPr>
        <w:jc w:val="both"/>
        <w:rPr>
          <w:rFonts w:cs="Times New Roman"/>
          <w:sz w:val="24"/>
          <w:szCs w:val="24"/>
          <w:lang w:val="ru-RU"/>
        </w:rPr>
      </w:pPr>
      <w:r w:rsidRPr="00383DBC">
        <w:rPr>
          <w:rFonts w:cs="Times New Roman"/>
          <w:sz w:val="24"/>
          <w:szCs w:val="24"/>
          <w:lang w:val="ru-RU"/>
        </w:rPr>
        <w:t>Концентрация сипонимода увеличивается пропорционально дозе после нескольких однократных ежедневных приемов сипоним</w:t>
      </w:r>
      <w:r w:rsidR="00D50E7D">
        <w:rPr>
          <w:rFonts w:cs="Times New Roman"/>
          <w:sz w:val="24"/>
          <w:szCs w:val="24"/>
          <w:lang w:val="ru-RU"/>
        </w:rPr>
        <w:t xml:space="preserve">ода в дозах от 0,3 мг до 20 мг. </w:t>
      </w:r>
      <w:r w:rsidRPr="00383DBC">
        <w:rPr>
          <w:rFonts w:cs="Times New Roman"/>
          <w:sz w:val="24"/>
          <w:szCs w:val="24"/>
          <w:lang w:val="ru-RU"/>
        </w:rPr>
        <w:t>Стабильные</w:t>
      </w:r>
      <w:r w:rsidR="00D50E7D">
        <w:rPr>
          <w:rFonts w:cs="Times New Roman"/>
          <w:sz w:val="24"/>
          <w:szCs w:val="24"/>
          <w:lang w:val="ru-RU"/>
        </w:rPr>
        <w:t> </w:t>
      </w:r>
      <w:r w:rsidRPr="00383DBC">
        <w:rPr>
          <w:rFonts w:cs="Times New Roman"/>
          <w:sz w:val="24"/>
          <w:szCs w:val="24"/>
          <w:lang w:val="ru-RU"/>
        </w:rPr>
        <w:t>концентрации в плазме достигаются примерно через 6 дней приема препарата один раз в день, а</w:t>
      </w:r>
      <w:r w:rsidR="00D50E7D">
        <w:rPr>
          <w:rFonts w:cs="Times New Roman"/>
          <w:sz w:val="24"/>
          <w:szCs w:val="24"/>
          <w:lang w:val="ru-RU"/>
        </w:rPr>
        <w:t xml:space="preserve"> стабильные уровни примерно в 2</w:t>
      </w:r>
      <w:r w:rsidR="00D50E7D">
        <w:rPr>
          <w:rFonts w:cs="Times New Roman"/>
          <w:sz w:val="24"/>
          <w:szCs w:val="24"/>
          <w:lang w:val="ru-RU"/>
        </w:rPr>
        <w:noBreakHyphen/>
      </w:r>
      <w:r w:rsidRPr="00383DBC">
        <w:rPr>
          <w:rFonts w:cs="Times New Roman"/>
          <w:sz w:val="24"/>
          <w:szCs w:val="24"/>
          <w:lang w:val="ru-RU"/>
        </w:rPr>
        <w:t>3 раза выше, чем после приема первой дозы. Для достижения клинически терапевтической дозы в 2 мг сипонимода через 6 дней используется режим повышения дозы, а для достижения устойчивых концентраций в плазме требуется еще 4 дня приема.</w:t>
      </w:r>
    </w:p>
    <w:p w14:paraId="70F78F91" w14:textId="77777777" w:rsidR="00383DBC" w:rsidRPr="00383DBC" w:rsidRDefault="00383DBC" w:rsidP="002B0543">
      <w:pPr>
        <w:jc w:val="both"/>
        <w:rPr>
          <w:rFonts w:cs="Times New Roman"/>
          <w:sz w:val="24"/>
          <w:szCs w:val="24"/>
          <w:u w:val="single"/>
          <w:lang w:val="ru-RU"/>
        </w:rPr>
      </w:pPr>
      <w:r w:rsidRPr="00383DBC">
        <w:rPr>
          <w:rFonts w:cs="Times New Roman"/>
          <w:sz w:val="24"/>
          <w:szCs w:val="24"/>
          <w:u w:val="single"/>
          <w:lang w:val="ru-RU"/>
        </w:rPr>
        <w:t>Характеристики в отдельных группах или особых категориях населения</w:t>
      </w:r>
    </w:p>
    <w:p w14:paraId="644BB465" w14:textId="77777777" w:rsidR="00383DBC" w:rsidRPr="00383DBC" w:rsidRDefault="00383DBC" w:rsidP="002B0543">
      <w:pPr>
        <w:jc w:val="both"/>
        <w:rPr>
          <w:rFonts w:cs="Times New Roman"/>
          <w:i/>
          <w:iCs/>
          <w:sz w:val="24"/>
          <w:szCs w:val="24"/>
          <w:u w:val="single"/>
          <w:lang w:val="ru-RU"/>
        </w:rPr>
      </w:pPr>
      <w:r w:rsidRPr="00383DBC">
        <w:rPr>
          <w:rFonts w:cs="Times New Roman"/>
          <w:i/>
          <w:iCs/>
          <w:sz w:val="24"/>
          <w:szCs w:val="24"/>
          <w:u w:val="single"/>
          <w:lang w:val="ru-RU"/>
        </w:rPr>
        <w:t>Генотип CYP2C9</w:t>
      </w:r>
    </w:p>
    <w:p w14:paraId="0E71EBC4" w14:textId="4E93CDD1" w:rsidR="00383DBC" w:rsidRPr="00383DBC" w:rsidRDefault="00383DBC" w:rsidP="002B0543">
      <w:pPr>
        <w:jc w:val="both"/>
        <w:rPr>
          <w:rFonts w:cs="Times New Roman"/>
          <w:sz w:val="24"/>
          <w:szCs w:val="24"/>
          <w:lang w:val="ru-RU"/>
        </w:rPr>
      </w:pPr>
      <w:r w:rsidRPr="00383DBC">
        <w:rPr>
          <w:rFonts w:cs="Times New Roman"/>
          <w:sz w:val="24"/>
          <w:szCs w:val="24"/>
          <w:lang w:val="ru-RU"/>
        </w:rPr>
        <w:t>Генотип CYP2C9 влияет на соотношение клиренс/биодоступность сипонимода. Два</w:t>
      </w:r>
      <w:r w:rsidR="00D50E7D">
        <w:rPr>
          <w:rFonts w:cs="Times New Roman"/>
          <w:sz w:val="24"/>
          <w:szCs w:val="24"/>
          <w:lang w:val="ru-RU"/>
        </w:rPr>
        <w:t> </w:t>
      </w:r>
      <w:r w:rsidRPr="00383DBC">
        <w:rPr>
          <w:rFonts w:cs="Times New Roman"/>
          <w:sz w:val="24"/>
          <w:szCs w:val="24"/>
          <w:lang w:val="ru-RU"/>
        </w:rPr>
        <w:t xml:space="preserve">демографических фармакокинетических анализа показали, что субъекты с генами </w:t>
      </w:r>
      <w:r w:rsidRPr="00383DBC">
        <w:rPr>
          <w:rFonts w:cs="Times New Roman"/>
          <w:sz w:val="24"/>
          <w:szCs w:val="24"/>
          <w:lang w:val="ru-RU"/>
        </w:rPr>
        <w:lastRenderedPageBreak/>
        <w:t xml:space="preserve">CYP2C9*1*1 и *1*2 ведут себя как активные метаболизаторы, субъекты с генами *2*2 и *1*3 - как промежуточные метаболизаторы, а субъекты с генами *2*3 и *3*3 - как плохие метаболизаторы. По сравнению с субъектами с генотипом CYP2C9*1*1, представители с генотипами CYP2C9*2*2, *1*3, *2*3 </w:t>
      </w:r>
      <w:r w:rsidR="00D50E7D">
        <w:rPr>
          <w:rFonts w:cs="Times New Roman"/>
          <w:sz w:val="24"/>
          <w:szCs w:val="24"/>
          <w:lang w:val="ru-RU"/>
        </w:rPr>
        <w:t>и *3*3 имеют на 20 %, 35</w:t>
      </w:r>
      <w:r w:rsidR="00D50E7D">
        <w:rPr>
          <w:rFonts w:cs="Times New Roman"/>
          <w:sz w:val="24"/>
          <w:szCs w:val="24"/>
          <w:lang w:val="ru-RU"/>
        </w:rPr>
        <w:noBreakHyphen/>
        <w:t>38 %, 45</w:t>
      </w:r>
      <w:r w:rsidR="00D50E7D">
        <w:rPr>
          <w:rFonts w:cs="Times New Roman"/>
          <w:sz w:val="24"/>
          <w:szCs w:val="24"/>
          <w:lang w:val="ru-RU"/>
        </w:rPr>
        <w:noBreakHyphen/>
      </w:r>
      <w:r w:rsidRPr="00383DBC">
        <w:rPr>
          <w:rFonts w:cs="Times New Roman"/>
          <w:sz w:val="24"/>
          <w:szCs w:val="24"/>
          <w:lang w:val="ru-RU"/>
        </w:rPr>
        <w:t>48</w:t>
      </w:r>
      <w:r w:rsidR="00D50E7D">
        <w:rPr>
          <w:rFonts w:cs="Times New Roman"/>
          <w:sz w:val="24"/>
          <w:szCs w:val="24"/>
          <w:lang w:val="ru-RU"/>
        </w:rPr>
        <w:t> </w:t>
      </w:r>
      <w:r w:rsidRPr="00383DBC">
        <w:rPr>
          <w:rFonts w:cs="Times New Roman"/>
          <w:sz w:val="24"/>
          <w:szCs w:val="24"/>
          <w:lang w:val="ru-RU"/>
        </w:rPr>
        <w:t>% и 74</w:t>
      </w:r>
      <w:r w:rsidR="00D50E7D">
        <w:rPr>
          <w:rFonts w:cs="Times New Roman"/>
          <w:sz w:val="24"/>
          <w:szCs w:val="24"/>
          <w:lang w:val="ru-RU"/>
        </w:rPr>
        <w:t> </w:t>
      </w:r>
      <w:r w:rsidRPr="00383DBC">
        <w:rPr>
          <w:rFonts w:cs="Times New Roman"/>
          <w:sz w:val="24"/>
          <w:szCs w:val="24"/>
          <w:lang w:val="ru-RU"/>
        </w:rPr>
        <w:t>% меньшие значения соотношения клиренс/биодоступность, соответственно. Таким образом, воздействие сипонимода примерно на 25</w:t>
      </w:r>
      <w:r w:rsidR="00D50E7D">
        <w:rPr>
          <w:rFonts w:cs="Times New Roman"/>
          <w:sz w:val="24"/>
          <w:szCs w:val="24"/>
          <w:lang w:val="ru-RU"/>
        </w:rPr>
        <w:t> </w:t>
      </w:r>
      <w:r w:rsidRPr="00383DBC">
        <w:rPr>
          <w:rFonts w:cs="Times New Roman"/>
          <w:sz w:val="24"/>
          <w:szCs w:val="24"/>
          <w:lang w:val="ru-RU"/>
        </w:rPr>
        <w:t>%, 61</w:t>
      </w:r>
      <w:r w:rsidR="00D50E7D">
        <w:rPr>
          <w:rFonts w:cs="Times New Roman"/>
          <w:sz w:val="24"/>
          <w:szCs w:val="24"/>
          <w:lang w:val="ru-RU"/>
        </w:rPr>
        <w:t> </w:t>
      </w:r>
      <w:r w:rsidRPr="00383DBC">
        <w:rPr>
          <w:rFonts w:cs="Times New Roman"/>
          <w:sz w:val="24"/>
          <w:szCs w:val="24"/>
          <w:lang w:val="ru-RU"/>
        </w:rPr>
        <w:t>%, 91</w:t>
      </w:r>
      <w:r w:rsidR="00D50E7D">
        <w:rPr>
          <w:rFonts w:cs="Times New Roman"/>
          <w:sz w:val="24"/>
          <w:szCs w:val="24"/>
          <w:lang w:val="ru-RU"/>
        </w:rPr>
        <w:t> </w:t>
      </w:r>
      <w:r w:rsidRPr="00383DBC">
        <w:rPr>
          <w:rFonts w:cs="Times New Roman"/>
          <w:sz w:val="24"/>
          <w:szCs w:val="24"/>
          <w:lang w:val="ru-RU"/>
        </w:rPr>
        <w:t>% и 284% выше у субъектов с генами CYP2C9*2*2, *1*3, *2*3 и *3*3, соответственно, по сравнению с субъектами с генотипом *1*1 (см. та</w:t>
      </w:r>
      <w:r w:rsidR="00D50E7D">
        <w:rPr>
          <w:rFonts w:cs="Times New Roman"/>
          <w:sz w:val="24"/>
          <w:szCs w:val="24"/>
          <w:lang w:val="ru-RU"/>
        </w:rPr>
        <w:t xml:space="preserve">бл. 4) (см. разделы 4.2 и 4.4). </w:t>
      </w:r>
      <w:r w:rsidRPr="00383DBC">
        <w:rPr>
          <w:rFonts w:cs="Times New Roman"/>
          <w:sz w:val="24"/>
          <w:szCs w:val="24"/>
          <w:lang w:val="ru-RU"/>
        </w:rPr>
        <w:t>Существуют и другие, менее часто встречающиеся полиморфизмы для гена CYP2C9. Фармакокинетика сипонимода у таких пациентов не изучалась. Некоторые полиморфизмы, такие как гены *5, *6, *8 и *11, связаны со снижением или потерей функции фермента. По оценкам, частота встречаемости аллелей CYP2C9 *5, *6, *8 и *11 составляет около 10% в популяциях с африканскими корнями, 2</w:t>
      </w:r>
      <w:r w:rsidR="00D50E7D">
        <w:rPr>
          <w:rFonts w:cs="Times New Roman"/>
          <w:sz w:val="24"/>
          <w:szCs w:val="24"/>
          <w:lang w:val="ru-RU"/>
        </w:rPr>
        <w:t> </w:t>
      </w:r>
      <w:r w:rsidRPr="00383DBC">
        <w:rPr>
          <w:rFonts w:cs="Times New Roman"/>
          <w:sz w:val="24"/>
          <w:szCs w:val="24"/>
          <w:lang w:val="ru-RU"/>
        </w:rPr>
        <w:t>% у латиноамериканцев/испанцев и &lt;0,4</w:t>
      </w:r>
      <w:r w:rsidR="00D50E7D">
        <w:rPr>
          <w:rFonts w:cs="Times New Roman"/>
          <w:sz w:val="24"/>
          <w:szCs w:val="24"/>
          <w:lang w:val="ru-RU"/>
        </w:rPr>
        <w:t> </w:t>
      </w:r>
      <w:r w:rsidRPr="00383DBC">
        <w:rPr>
          <w:rFonts w:cs="Times New Roman"/>
          <w:sz w:val="24"/>
          <w:szCs w:val="24"/>
          <w:lang w:val="ru-RU"/>
        </w:rPr>
        <w:t>% у европеоидов и азиатов.</w:t>
      </w:r>
    </w:p>
    <w:p w14:paraId="436E7E6B" w14:textId="77777777" w:rsidR="00383DBC" w:rsidRPr="00383DBC" w:rsidRDefault="00383DBC" w:rsidP="002B0543">
      <w:pPr>
        <w:jc w:val="both"/>
        <w:rPr>
          <w:rFonts w:cs="Times New Roman"/>
          <w:b/>
          <w:bCs/>
          <w:sz w:val="24"/>
          <w:szCs w:val="24"/>
          <w:lang w:val="ru-RU"/>
        </w:rPr>
      </w:pPr>
      <w:r w:rsidRPr="00383DBC">
        <w:rPr>
          <w:rFonts w:cs="Times New Roman"/>
          <w:b/>
          <w:bCs/>
          <w:sz w:val="24"/>
          <w:szCs w:val="24"/>
          <w:lang w:val="ru-RU"/>
        </w:rPr>
        <w:t>Таблица 4 Влияние генотипа CYP2C9 на соотношение клиренса/биодоступность и системное воздействие сипонимода</w:t>
      </w:r>
    </w:p>
    <w:tbl>
      <w:tblPr>
        <w:tblW w:w="5000" w:type="pct"/>
        <w:tblInd w:w="5" w:type="dxa"/>
        <w:tblLayout w:type="fixed"/>
        <w:tblCellMar>
          <w:left w:w="0" w:type="dxa"/>
          <w:right w:w="0" w:type="dxa"/>
        </w:tblCellMar>
        <w:tblLook w:val="0000" w:firstRow="0" w:lastRow="0" w:firstColumn="0" w:lastColumn="0" w:noHBand="0" w:noVBand="0"/>
      </w:tblPr>
      <w:tblGrid>
        <w:gridCol w:w="1825"/>
        <w:gridCol w:w="1806"/>
        <w:gridCol w:w="1791"/>
        <w:gridCol w:w="1825"/>
        <w:gridCol w:w="1835"/>
      </w:tblGrid>
      <w:tr w:rsidR="00383DBC" w:rsidRPr="005818B4" w14:paraId="59422582" w14:textId="77777777" w:rsidTr="00D50E7D">
        <w:trPr>
          <w:trHeight w:val="773"/>
        </w:trPr>
        <w:tc>
          <w:tcPr>
            <w:tcW w:w="1824" w:type="dxa"/>
            <w:tcBorders>
              <w:top w:val="single" w:sz="4" w:space="0" w:color="auto"/>
              <w:left w:val="single" w:sz="4" w:space="0" w:color="auto"/>
              <w:bottom w:val="nil"/>
              <w:right w:val="nil"/>
            </w:tcBorders>
            <w:shd w:val="clear" w:color="auto" w:fill="FFFFFF"/>
            <w:vAlign w:val="center"/>
          </w:tcPr>
          <w:p w14:paraId="00F49BE7"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8"/>
                <w:rFonts w:ascii="Times New Roman" w:hAnsi="Times New Roman" w:cs="Times New Roman"/>
                <w:color w:val="000000"/>
                <w:sz w:val="24"/>
                <w:szCs w:val="24"/>
                <w:lang w:val="ru-RU"/>
              </w:rPr>
              <w:t>Генотип CYP2C9</w:t>
            </w:r>
          </w:p>
        </w:tc>
        <w:tc>
          <w:tcPr>
            <w:tcW w:w="1805" w:type="dxa"/>
            <w:tcBorders>
              <w:top w:val="single" w:sz="4" w:space="0" w:color="auto"/>
              <w:left w:val="single" w:sz="4" w:space="0" w:color="auto"/>
              <w:bottom w:val="nil"/>
              <w:right w:val="nil"/>
            </w:tcBorders>
            <w:shd w:val="clear" w:color="auto" w:fill="FFFFFF"/>
            <w:vAlign w:val="center"/>
          </w:tcPr>
          <w:p w14:paraId="430D95E7" w14:textId="77777777" w:rsidR="00383DBC" w:rsidRPr="00383DBC" w:rsidRDefault="00383DBC" w:rsidP="002B0543">
            <w:pPr>
              <w:pStyle w:val="211"/>
              <w:shd w:val="clear" w:color="auto" w:fill="auto"/>
              <w:spacing w:line="240" w:lineRule="auto"/>
              <w:ind w:firstLine="0"/>
              <w:jc w:val="both"/>
              <w:rPr>
                <w:rStyle w:val="28"/>
                <w:rFonts w:ascii="Times New Roman" w:hAnsi="Times New Roman" w:cs="Times New Roman"/>
                <w:color w:val="000000"/>
                <w:sz w:val="24"/>
                <w:szCs w:val="24"/>
                <w:lang w:val="ru-RU"/>
              </w:rPr>
            </w:pPr>
            <w:r w:rsidRPr="00383DBC">
              <w:rPr>
                <w:rStyle w:val="28"/>
                <w:rFonts w:ascii="Times New Roman" w:hAnsi="Times New Roman" w:cs="Times New Roman"/>
                <w:color w:val="000000"/>
                <w:sz w:val="24"/>
                <w:szCs w:val="24"/>
                <w:lang w:val="ru-RU"/>
              </w:rPr>
              <w:t>Частота у европеоидов</w:t>
            </w:r>
          </w:p>
        </w:tc>
        <w:tc>
          <w:tcPr>
            <w:tcW w:w="1790" w:type="dxa"/>
            <w:tcBorders>
              <w:top w:val="single" w:sz="4" w:space="0" w:color="auto"/>
              <w:left w:val="single" w:sz="4" w:space="0" w:color="auto"/>
              <w:bottom w:val="nil"/>
              <w:right w:val="nil"/>
            </w:tcBorders>
            <w:shd w:val="clear" w:color="auto" w:fill="FFFFFF"/>
            <w:vAlign w:val="center"/>
          </w:tcPr>
          <w:p w14:paraId="7B3CA677"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8"/>
                <w:rFonts w:ascii="Times New Roman" w:hAnsi="Times New Roman" w:cs="Times New Roman"/>
                <w:color w:val="000000"/>
                <w:sz w:val="24"/>
                <w:szCs w:val="24"/>
                <w:lang w:val="ru-RU"/>
              </w:rPr>
              <w:t>Расчетное соотношение клиренс/биодоступность (л/ч)</w:t>
            </w:r>
          </w:p>
        </w:tc>
        <w:tc>
          <w:tcPr>
            <w:tcW w:w="1824" w:type="dxa"/>
            <w:tcBorders>
              <w:top w:val="single" w:sz="4" w:space="0" w:color="auto"/>
              <w:left w:val="single" w:sz="4" w:space="0" w:color="auto"/>
              <w:bottom w:val="nil"/>
              <w:right w:val="nil"/>
            </w:tcBorders>
            <w:shd w:val="clear" w:color="auto" w:fill="FFFFFF"/>
            <w:vAlign w:val="center"/>
          </w:tcPr>
          <w:p w14:paraId="60CB2FF2"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8"/>
                <w:rFonts w:ascii="Times New Roman" w:hAnsi="Times New Roman" w:cs="Times New Roman"/>
                <w:color w:val="000000"/>
                <w:sz w:val="24"/>
                <w:szCs w:val="24"/>
                <w:lang w:val="ru-RU"/>
              </w:rPr>
              <w:t>% соотношения клиренс/биодоступность для генотипа CYP2C9*1*1</w:t>
            </w:r>
          </w:p>
        </w:tc>
        <w:tc>
          <w:tcPr>
            <w:tcW w:w="1834" w:type="dxa"/>
            <w:tcBorders>
              <w:top w:val="single" w:sz="4" w:space="0" w:color="auto"/>
              <w:left w:val="single" w:sz="4" w:space="0" w:color="auto"/>
              <w:bottom w:val="nil"/>
              <w:right w:val="single" w:sz="4" w:space="0" w:color="auto"/>
            </w:tcBorders>
            <w:shd w:val="clear" w:color="auto" w:fill="FFFFFF"/>
            <w:vAlign w:val="center"/>
          </w:tcPr>
          <w:p w14:paraId="6DFB358C" w14:textId="77777777" w:rsidR="00383DBC" w:rsidRPr="00383DBC" w:rsidRDefault="00383DBC" w:rsidP="002B0543">
            <w:pPr>
              <w:pStyle w:val="211"/>
              <w:shd w:val="clear" w:color="auto" w:fill="auto"/>
              <w:spacing w:line="240" w:lineRule="auto"/>
              <w:ind w:firstLine="0"/>
              <w:jc w:val="both"/>
              <w:rPr>
                <w:rStyle w:val="28"/>
                <w:rFonts w:ascii="Times New Roman" w:hAnsi="Times New Roman" w:cs="Times New Roman"/>
                <w:color w:val="000000"/>
                <w:sz w:val="24"/>
                <w:szCs w:val="24"/>
                <w:lang w:val="ru-RU"/>
              </w:rPr>
            </w:pPr>
            <w:r w:rsidRPr="00383DBC">
              <w:rPr>
                <w:rStyle w:val="28"/>
                <w:rFonts w:ascii="Times New Roman" w:hAnsi="Times New Roman" w:cs="Times New Roman"/>
                <w:color w:val="000000"/>
                <w:sz w:val="24"/>
                <w:szCs w:val="24"/>
                <w:lang w:val="ru-RU"/>
              </w:rPr>
              <w:t>Увеличение воздействия в % по сравнению с генотипом CYP2C9*1*1</w:t>
            </w:r>
          </w:p>
        </w:tc>
      </w:tr>
      <w:tr w:rsidR="00383DBC" w:rsidRPr="00383DBC" w14:paraId="4858C416" w14:textId="77777777" w:rsidTr="00D50E7D">
        <w:trPr>
          <w:trHeight w:val="264"/>
        </w:trPr>
        <w:tc>
          <w:tcPr>
            <w:tcW w:w="9077" w:type="dxa"/>
            <w:gridSpan w:val="5"/>
            <w:tcBorders>
              <w:top w:val="single" w:sz="4" w:space="0" w:color="auto"/>
              <w:left w:val="single" w:sz="4" w:space="0" w:color="auto"/>
              <w:bottom w:val="nil"/>
              <w:right w:val="single" w:sz="4" w:space="0" w:color="auto"/>
            </w:tcBorders>
            <w:shd w:val="clear" w:color="auto" w:fill="FFFFFF"/>
          </w:tcPr>
          <w:p w14:paraId="59A5CA8F" w14:textId="77777777" w:rsidR="00383DBC" w:rsidRPr="00383DBC" w:rsidRDefault="00383DBC" w:rsidP="002B0543">
            <w:pPr>
              <w:pStyle w:val="211"/>
              <w:shd w:val="clear" w:color="auto" w:fill="auto"/>
              <w:spacing w:line="240" w:lineRule="auto"/>
              <w:ind w:firstLine="0"/>
              <w:jc w:val="both"/>
              <w:rPr>
                <w:rStyle w:val="230"/>
                <w:rFonts w:ascii="Times New Roman" w:hAnsi="Times New Roman" w:cs="Times New Roman"/>
                <w:color w:val="000000"/>
                <w:sz w:val="24"/>
                <w:szCs w:val="24"/>
                <w:lang w:val="ru-RU"/>
              </w:rPr>
            </w:pPr>
            <w:r w:rsidRPr="00383DBC">
              <w:rPr>
                <w:rStyle w:val="230"/>
                <w:rFonts w:ascii="Times New Roman" w:hAnsi="Times New Roman" w:cs="Times New Roman"/>
                <w:color w:val="000000"/>
                <w:sz w:val="24"/>
                <w:szCs w:val="24"/>
                <w:lang w:val="ru-RU"/>
              </w:rPr>
              <w:t>Активные метаболизаторы</w:t>
            </w:r>
          </w:p>
        </w:tc>
      </w:tr>
      <w:tr w:rsidR="00383DBC" w:rsidRPr="00383DBC" w14:paraId="241E7CF4" w14:textId="77777777" w:rsidTr="00D50E7D">
        <w:trPr>
          <w:trHeight w:val="264"/>
        </w:trPr>
        <w:tc>
          <w:tcPr>
            <w:tcW w:w="1824" w:type="dxa"/>
            <w:tcBorders>
              <w:top w:val="single" w:sz="4" w:space="0" w:color="auto"/>
              <w:left w:val="single" w:sz="4" w:space="0" w:color="auto"/>
              <w:bottom w:val="nil"/>
              <w:right w:val="nil"/>
            </w:tcBorders>
            <w:shd w:val="clear" w:color="auto" w:fill="FFFFFF"/>
          </w:tcPr>
          <w:p w14:paraId="10676EAA"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CYP2C9*1*1</w:t>
            </w:r>
          </w:p>
        </w:tc>
        <w:tc>
          <w:tcPr>
            <w:tcW w:w="1805" w:type="dxa"/>
            <w:tcBorders>
              <w:top w:val="single" w:sz="4" w:space="0" w:color="auto"/>
              <w:left w:val="single" w:sz="4" w:space="0" w:color="auto"/>
              <w:bottom w:val="nil"/>
              <w:right w:val="nil"/>
            </w:tcBorders>
            <w:shd w:val="clear" w:color="auto" w:fill="FFFFFF"/>
          </w:tcPr>
          <w:p w14:paraId="6B0D2E19"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62-65</w:t>
            </w:r>
          </w:p>
        </w:tc>
        <w:tc>
          <w:tcPr>
            <w:tcW w:w="1790" w:type="dxa"/>
            <w:tcBorders>
              <w:top w:val="single" w:sz="4" w:space="0" w:color="auto"/>
              <w:left w:val="single" w:sz="4" w:space="0" w:color="auto"/>
              <w:bottom w:val="nil"/>
              <w:right w:val="nil"/>
            </w:tcBorders>
            <w:shd w:val="clear" w:color="auto" w:fill="FFFFFF"/>
          </w:tcPr>
          <w:p w14:paraId="73AE53B7"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3.1-3.3</w:t>
            </w:r>
          </w:p>
        </w:tc>
        <w:tc>
          <w:tcPr>
            <w:tcW w:w="1824" w:type="dxa"/>
            <w:tcBorders>
              <w:top w:val="single" w:sz="4" w:space="0" w:color="auto"/>
              <w:left w:val="single" w:sz="4" w:space="0" w:color="auto"/>
              <w:bottom w:val="nil"/>
              <w:right w:val="nil"/>
            </w:tcBorders>
            <w:shd w:val="clear" w:color="auto" w:fill="FFFFFF"/>
          </w:tcPr>
          <w:p w14:paraId="01CE7D35"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100</w:t>
            </w:r>
          </w:p>
        </w:tc>
        <w:tc>
          <w:tcPr>
            <w:tcW w:w="1834" w:type="dxa"/>
            <w:tcBorders>
              <w:top w:val="single" w:sz="4" w:space="0" w:color="auto"/>
              <w:left w:val="single" w:sz="4" w:space="0" w:color="auto"/>
              <w:bottom w:val="nil"/>
              <w:right w:val="single" w:sz="4" w:space="0" w:color="auto"/>
            </w:tcBorders>
            <w:shd w:val="clear" w:color="auto" w:fill="FFFFFF"/>
          </w:tcPr>
          <w:p w14:paraId="69A6191E"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w:t>
            </w:r>
          </w:p>
        </w:tc>
      </w:tr>
      <w:tr w:rsidR="00383DBC" w:rsidRPr="00383DBC" w14:paraId="773FCB34" w14:textId="77777777" w:rsidTr="00D50E7D">
        <w:trPr>
          <w:trHeight w:val="264"/>
        </w:trPr>
        <w:tc>
          <w:tcPr>
            <w:tcW w:w="1824" w:type="dxa"/>
            <w:tcBorders>
              <w:top w:val="single" w:sz="4" w:space="0" w:color="auto"/>
              <w:left w:val="single" w:sz="4" w:space="0" w:color="auto"/>
              <w:bottom w:val="nil"/>
              <w:right w:val="nil"/>
            </w:tcBorders>
            <w:shd w:val="clear" w:color="auto" w:fill="FFFFFF"/>
          </w:tcPr>
          <w:p w14:paraId="40AC5A15"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CYP2C9*1*2</w:t>
            </w:r>
          </w:p>
        </w:tc>
        <w:tc>
          <w:tcPr>
            <w:tcW w:w="1805" w:type="dxa"/>
            <w:tcBorders>
              <w:top w:val="single" w:sz="4" w:space="0" w:color="auto"/>
              <w:left w:val="single" w:sz="4" w:space="0" w:color="auto"/>
              <w:bottom w:val="nil"/>
              <w:right w:val="nil"/>
            </w:tcBorders>
            <w:shd w:val="clear" w:color="auto" w:fill="FFFFFF"/>
          </w:tcPr>
          <w:p w14:paraId="2F08AF5F"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20-24</w:t>
            </w:r>
          </w:p>
        </w:tc>
        <w:tc>
          <w:tcPr>
            <w:tcW w:w="1790" w:type="dxa"/>
            <w:tcBorders>
              <w:top w:val="single" w:sz="4" w:space="0" w:color="auto"/>
              <w:left w:val="single" w:sz="4" w:space="0" w:color="auto"/>
              <w:bottom w:val="nil"/>
              <w:right w:val="nil"/>
            </w:tcBorders>
            <w:shd w:val="clear" w:color="auto" w:fill="FFFFFF"/>
          </w:tcPr>
          <w:p w14:paraId="7B3C9DE2"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3.1-3.3</w:t>
            </w:r>
          </w:p>
        </w:tc>
        <w:tc>
          <w:tcPr>
            <w:tcW w:w="1824" w:type="dxa"/>
            <w:tcBorders>
              <w:top w:val="single" w:sz="4" w:space="0" w:color="auto"/>
              <w:left w:val="single" w:sz="4" w:space="0" w:color="auto"/>
              <w:bottom w:val="nil"/>
              <w:right w:val="nil"/>
            </w:tcBorders>
            <w:shd w:val="clear" w:color="auto" w:fill="FFFFFF"/>
          </w:tcPr>
          <w:p w14:paraId="5F81E727"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99-100</w:t>
            </w:r>
          </w:p>
        </w:tc>
        <w:tc>
          <w:tcPr>
            <w:tcW w:w="1834" w:type="dxa"/>
            <w:tcBorders>
              <w:top w:val="single" w:sz="4" w:space="0" w:color="auto"/>
              <w:left w:val="single" w:sz="4" w:space="0" w:color="auto"/>
              <w:bottom w:val="nil"/>
              <w:right w:val="single" w:sz="4" w:space="0" w:color="auto"/>
            </w:tcBorders>
            <w:shd w:val="clear" w:color="auto" w:fill="FFFFFF"/>
          </w:tcPr>
          <w:p w14:paraId="158DAD58"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w:t>
            </w:r>
          </w:p>
        </w:tc>
      </w:tr>
      <w:tr w:rsidR="00383DBC" w:rsidRPr="00383DBC" w14:paraId="343D28EB" w14:textId="77777777" w:rsidTr="00D50E7D">
        <w:trPr>
          <w:trHeight w:val="259"/>
        </w:trPr>
        <w:tc>
          <w:tcPr>
            <w:tcW w:w="9077" w:type="dxa"/>
            <w:gridSpan w:val="5"/>
            <w:tcBorders>
              <w:top w:val="single" w:sz="4" w:space="0" w:color="auto"/>
              <w:left w:val="single" w:sz="4" w:space="0" w:color="auto"/>
              <w:bottom w:val="nil"/>
              <w:right w:val="single" w:sz="4" w:space="0" w:color="auto"/>
            </w:tcBorders>
            <w:shd w:val="clear" w:color="auto" w:fill="FFFFFF"/>
          </w:tcPr>
          <w:p w14:paraId="6563799B"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Промежуточные метаболизаторы</w:t>
            </w:r>
          </w:p>
        </w:tc>
      </w:tr>
      <w:tr w:rsidR="00383DBC" w:rsidRPr="00383DBC" w14:paraId="40540E72" w14:textId="77777777" w:rsidTr="00D50E7D">
        <w:trPr>
          <w:trHeight w:val="264"/>
        </w:trPr>
        <w:tc>
          <w:tcPr>
            <w:tcW w:w="1824" w:type="dxa"/>
            <w:tcBorders>
              <w:top w:val="single" w:sz="4" w:space="0" w:color="auto"/>
              <w:left w:val="single" w:sz="4" w:space="0" w:color="auto"/>
              <w:bottom w:val="nil"/>
              <w:right w:val="nil"/>
            </w:tcBorders>
            <w:shd w:val="clear" w:color="auto" w:fill="FFFFFF"/>
          </w:tcPr>
          <w:p w14:paraId="295791A5"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CYP2C9*2*2</w:t>
            </w:r>
          </w:p>
        </w:tc>
        <w:tc>
          <w:tcPr>
            <w:tcW w:w="1805" w:type="dxa"/>
            <w:tcBorders>
              <w:top w:val="single" w:sz="4" w:space="0" w:color="auto"/>
              <w:left w:val="single" w:sz="4" w:space="0" w:color="auto"/>
              <w:bottom w:val="nil"/>
              <w:right w:val="nil"/>
            </w:tcBorders>
            <w:shd w:val="clear" w:color="auto" w:fill="FFFFFF"/>
          </w:tcPr>
          <w:p w14:paraId="1F7B2B5A"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1-2</w:t>
            </w:r>
          </w:p>
        </w:tc>
        <w:tc>
          <w:tcPr>
            <w:tcW w:w="1790" w:type="dxa"/>
            <w:tcBorders>
              <w:top w:val="single" w:sz="4" w:space="0" w:color="auto"/>
              <w:left w:val="single" w:sz="4" w:space="0" w:color="auto"/>
              <w:bottom w:val="nil"/>
              <w:right w:val="nil"/>
            </w:tcBorders>
            <w:shd w:val="clear" w:color="auto" w:fill="FFFFFF"/>
          </w:tcPr>
          <w:p w14:paraId="533AEF50"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2.5-2.6</w:t>
            </w:r>
          </w:p>
        </w:tc>
        <w:tc>
          <w:tcPr>
            <w:tcW w:w="1824" w:type="dxa"/>
            <w:tcBorders>
              <w:top w:val="single" w:sz="4" w:space="0" w:color="auto"/>
              <w:left w:val="single" w:sz="4" w:space="0" w:color="auto"/>
              <w:bottom w:val="nil"/>
              <w:right w:val="nil"/>
            </w:tcBorders>
            <w:shd w:val="clear" w:color="auto" w:fill="FFFFFF"/>
          </w:tcPr>
          <w:p w14:paraId="16FBC52E"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80</w:t>
            </w:r>
          </w:p>
        </w:tc>
        <w:tc>
          <w:tcPr>
            <w:tcW w:w="1834" w:type="dxa"/>
            <w:tcBorders>
              <w:top w:val="single" w:sz="4" w:space="0" w:color="auto"/>
              <w:left w:val="single" w:sz="4" w:space="0" w:color="auto"/>
              <w:bottom w:val="nil"/>
              <w:right w:val="single" w:sz="4" w:space="0" w:color="auto"/>
            </w:tcBorders>
            <w:shd w:val="clear" w:color="auto" w:fill="FFFFFF"/>
          </w:tcPr>
          <w:p w14:paraId="53C82584"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25</w:t>
            </w:r>
          </w:p>
        </w:tc>
      </w:tr>
      <w:tr w:rsidR="00383DBC" w:rsidRPr="00383DBC" w14:paraId="6B5D9550" w14:textId="77777777" w:rsidTr="00D50E7D">
        <w:trPr>
          <w:trHeight w:val="264"/>
        </w:trPr>
        <w:tc>
          <w:tcPr>
            <w:tcW w:w="1824" w:type="dxa"/>
            <w:tcBorders>
              <w:top w:val="single" w:sz="4" w:space="0" w:color="auto"/>
              <w:left w:val="single" w:sz="4" w:space="0" w:color="auto"/>
              <w:bottom w:val="nil"/>
              <w:right w:val="nil"/>
            </w:tcBorders>
            <w:shd w:val="clear" w:color="auto" w:fill="FFFFFF"/>
          </w:tcPr>
          <w:p w14:paraId="73BB0EEA"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CYP2C9*1*3</w:t>
            </w:r>
          </w:p>
        </w:tc>
        <w:tc>
          <w:tcPr>
            <w:tcW w:w="1805" w:type="dxa"/>
            <w:tcBorders>
              <w:top w:val="single" w:sz="4" w:space="0" w:color="auto"/>
              <w:left w:val="single" w:sz="4" w:space="0" w:color="auto"/>
              <w:bottom w:val="nil"/>
              <w:right w:val="nil"/>
            </w:tcBorders>
            <w:shd w:val="clear" w:color="auto" w:fill="FFFFFF"/>
          </w:tcPr>
          <w:p w14:paraId="6A382F9A"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9-12</w:t>
            </w:r>
          </w:p>
        </w:tc>
        <w:tc>
          <w:tcPr>
            <w:tcW w:w="1790" w:type="dxa"/>
            <w:tcBorders>
              <w:top w:val="single" w:sz="4" w:space="0" w:color="auto"/>
              <w:left w:val="single" w:sz="4" w:space="0" w:color="auto"/>
              <w:bottom w:val="nil"/>
              <w:right w:val="nil"/>
            </w:tcBorders>
            <w:shd w:val="clear" w:color="auto" w:fill="FFFFFF"/>
          </w:tcPr>
          <w:p w14:paraId="088705E2"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1.9-2.1</w:t>
            </w:r>
          </w:p>
        </w:tc>
        <w:tc>
          <w:tcPr>
            <w:tcW w:w="1824" w:type="dxa"/>
            <w:tcBorders>
              <w:top w:val="single" w:sz="4" w:space="0" w:color="auto"/>
              <w:left w:val="single" w:sz="4" w:space="0" w:color="auto"/>
              <w:bottom w:val="nil"/>
              <w:right w:val="nil"/>
            </w:tcBorders>
            <w:shd w:val="clear" w:color="auto" w:fill="FFFFFF"/>
          </w:tcPr>
          <w:p w14:paraId="3EF967E6"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62-65</w:t>
            </w:r>
          </w:p>
        </w:tc>
        <w:tc>
          <w:tcPr>
            <w:tcW w:w="1834" w:type="dxa"/>
            <w:tcBorders>
              <w:top w:val="single" w:sz="4" w:space="0" w:color="auto"/>
              <w:left w:val="single" w:sz="4" w:space="0" w:color="auto"/>
              <w:bottom w:val="nil"/>
              <w:right w:val="single" w:sz="4" w:space="0" w:color="auto"/>
            </w:tcBorders>
            <w:shd w:val="clear" w:color="auto" w:fill="FFFFFF"/>
          </w:tcPr>
          <w:p w14:paraId="0113B042"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61</w:t>
            </w:r>
          </w:p>
        </w:tc>
      </w:tr>
      <w:tr w:rsidR="00383DBC" w:rsidRPr="00383DBC" w14:paraId="33B31C57" w14:textId="77777777" w:rsidTr="00D50E7D">
        <w:trPr>
          <w:trHeight w:val="264"/>
        </w:trPr>
        <w:tc>
          <w:tcPr>
            <w:tcW w:w="9077" w:type="dxa"/>
            <w:gridSpan w:val="5"/>
            <w:tcBorders>
              <w:top w:val="single" w:sz="4" w:space="0" w:color="auto"/>
              <w:left w:val="single" w:sz="4" w:space="0" w:color="auto"/>
              <w:bottom w:val="nil"/>
              <w:right w:val="single" w:sz="4" w:space="0" w:color="auto"/>
            </w:tcBorders>
            <w:shd w:val="clear" w:color="auto" w:fill="FFFFFF"/>
          </w:tcPr>
          <w:p w14:paraId="003606E5"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Плохие метаболизаторы</w:t>
            </w:r>
          </w:p>
        </w:tc>
      </w:tr>
      <w:tr w:rsidR="00383DBC" w:rsidRPr="00383DBC" w14:paraId="1FD2E02F" w14:textId="77777777" w:rsidTr="00D50E7D">
        <w:trPr>
          <w:trHeight w:val="269"/>
        </w:trPr>
        <w:tc>
          <w:tcPr>
            <w:tcW w:w="1824" w:type="dxa"/>
            <w:tcBorders>
              <w:top w:val="single" w:sz="4" w:space="0" w:color="auto"/>
              <w:left w:val="single" w:sz="4" w:space="0" w:color="auto"/>
              <w:bottom w:val="nil"/>
              <w:right w:val="nil"/>
            </w:tcBorders>
            <w:shd w:val="clear" w:color="auto" w:fill="FFFFFF"/>
          </w:tcPr>
          <w:p w14:paraId="79530255"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CYP2C9*2*3</w:t>
            </w:r>
          </w:p>
        </w:tc>
        <w:tc>
          <w:tcPr>
            <w:tcW w:w="1805" w:type="dxa"/>
            <w:tcBorders>
              <w:top w:val="single" w:sz="4" w:space="0" w:color="auto"/>
              <w:left w:val="single" w:sz="4" w:space="0" w:color="auto"/>
              <w:bottom w:val="nil"/>
              <w:right w:val="nil"/>
            </w:tcBorders>
            <w:shd w:val="clear" w:color="auto" w:fill="FFFFFF"/>
          </w:tcPr>
          <w:p w14:paraId="008D5F1C"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1.4-1.7</w:t>
            </w:r>
          </w:p>
        </w:tc>
        <w:tc>
          <w:tcPr>
            <w:tcW w:w="1790" w:type="dxa"/>
            <w:tcBorders>
              <w:top w:val="single" w:sz="4" w:space="0" w:color="auto"/>
              <w:left w:val="single" w:sz="4" w:space="0" w:color="auto"/>
              <w:bottom w:val="nil"/>
              <w:right w:val="nil"/>
            </w:tcBorders>
            <w:shd w:val="clear" w:color="auto" w:fill="FFFFFF"/>
          </w:tcPr>
          <w:p w14:paraId="4A865BC2"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1.6-1.8</w:t>
            </w:r>
          </w:p>
        </w:tc>
        <w:tc>
          <w:tcPr>
            <w:tcW w:w="1824" w:type="dxa"/>
            <w:tcBorders>
              <w:top w:val="single" w:sz="4" w:space="0" w:color="auto"/>
              <w:left w:val="single" w:sz="4" w:space="0" w:color="auto"/>
              <w:bottom w:val="nil"/>
              <w:right w:val="nil"/>
            </w:tcBorders>
            <w:shd w:val="clear" w:color="auto" w:fill="FFFFFF"/>
          </w:tcPr>
          <w:p w14:paraId="1F7B1039"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52-55</w:t>
            </w:r>
          </w:p>
        </w:tc>
        <w:tc>
          <w:tcPr>
            <w:tcW w:w="1834" w:type="dxa"/>
            <w:tcBorders>
              <w:top w:val="single" w:sz="4" w:space="0" w:color="auto"/>
              <w:left w:val="single" w:sz="4" w:space="0" w:color="auto"/>
              <w:bottom w:val="nil"/>
              <w:right w:val="single" w:sz="4" w:space="0" w:color="auto"/>
            </w:tcBorders>
            <w:shd w:val="clear" w:color="auto" w:fill="FFFFFF"/>
          </w:tcPr>
          <w:p w14:paraId="4F2A2B7B"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91</w:t>
            </w:r>
          </w:p>
        </w:tc>
      </w:tr>
      <w:tr w:rsidR="00383DBC" w:rsidRPr="00383DBC" w14:paraId="19814566" w14:textId="77777777" w:rsidTr="00D50E7D">
        <w:trPr>
          <w:trHeight w:val="278"/>
        </w:trPr>
        <w:tc>
          <w:tcPr>
            <w:tcW w:w="1824" w:type="dxa"/>
            <w:tcBorders>
              <w:top w:val="single" w:sz="4" w:space="0" w:color="auto"/>
              <w:left w:val="single" w:sz="4" w:space="0" w:color="auto"/>
              <w:bottom w:val="single" w:sz="4" w:space="0" w:color="auto"/>
              <w:right w:val="nil"/>
            </w:tcBorders>
            <w:shd w:val="clear" w:color="auto" w:fill="FFFFFF"/>
          </w:tcPr>
          <w:p w14:paraId="77EF1E06"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CYP2C9*3*3</w:t>
            </w:r>
          </w:p>
        </w:tc>
        <w:tc>
          <w:tcPr>
            <w:tcW w:w="1805" w:type="dxa"/>
            <w:tcBorders>
              <w:top w:val="single" w:sz="4" w:space="0" w:color="auto"/>
              <w:left w:val="single" w:sz="4" w:space="0" w:color="auto"/>
              <w:bottom w:val="single" w:sz="4" w:space="0" w:color="auto"/>
              <w:right w:val="nil"/>
            </w:tcBorders>
            <w:shd w:val="clear" w:color="auto" w:fill="FFFFFF"/>
          </w:tcPr>
          <w:p w14:paraId="2B5FB9CD"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0.3-0.4</w:t>
            </w:r>
          </w:p>
        </w:tc>
        <w:tc>
          <w:tcPr>
            <w:tcW w:w="1790" w:type="dxa"/>
            <w:tcBorders>
              <w:top w:val="single" w:sz="4" w:space="0" w:color="auto"/>
              <w:left w:val="single" w:sz="4" w:space="0" w:color="auto"/>
              <w:bottom w:val="single" w:sz="4" w:space="0" w:color="auto"/>
              <w:right w:val="nil"/>
            </w:tcBorders>
            <w:shd w:val="clear" w:color="auto" w:fill="FFFFFF"/>
          </w:tcPr>
          <w:p w14:paraId="1267BD6D"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0.9</w:t>
            </w:r>
          </w:p>
        </w:tc>
        <w:tc>
          <w:tcPr>
            <w:tcW w:w="1824" w:type="dxa"/>
            <w:tcBorders>
              <w:top w:val="single" w:sz="4" w:space="0" w:color="auto"/>
              <w:left w:val="single" w:sz="4" w:space="0" w:color="auto"/>
              <w:bottom w:val="single" w:sz="4" w:space="0" w:color="auto"/>
              <w:right w:val="nil"/>
            </w:tcBorders>
            <w:shd w:val="clear" w:color="auto" w:fill="FFFFFF"/>
          </w:tcPr>
          <w:p w14:paraId="30DAAACE"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26</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14:paraId="4FD7811E" w14:textId="77777777" w:rsidR="00383DBC" w:rsidRPr="00383DBC" w:rsidRDefault="00383DBC" w:rsidP="002B0543">
            <w:pPr>
              <w:pStyle w:val="211"/>
              <w:shd w:val="clear" w:color="auto" w:fill="auto"/>
              <w:spacing w:line="240" w:lineRule="auto"/>
              <w:ind w:firstLine="0"/>
              <w:jc w:val="both"/>
              <w:rPr>
                <w:rFonts w:ascii="Times New Roman" w:hAnsi="Times New Roman" w:cs="Times New Roman"/>
                <w:sz w:val="24"/>
                <w:szCs w:val="24"/>
                <w:lang w:val="ru-RU"/>
              </w:rPr>
            </w:pPr>
            <w:r w:rsidRPr="00383DBC">
              <w:rPr>
                <w:rStyle w:val="230"/>
                <w:rFonts w:ascii="Times New Roman" w:hAnsi="Times New Roman" w:cs="Times New Roman"/>
                <w:color w:val="000000"/>
                <w:sz w:val="24"/>
                <w:szCs w:val="24"/>
                <w:lang w:val="ru-RU"/>
              </w:rPr>
              <w:t>284</w:t>
            </w:r>
          </w:p>
        </w:tc>
      </w:tr>
    </w:tbl>
    <w:p w14:paraId="3FE17001" w14:textId="77777777" w:rsidR="00D50E7D" w:rsidRDefault="00D50E7D" w:rsidP="002B0543">
      <w:pPr>
        <w:jc w:val="both"/>
        <w:rPr>
          <w:rFonts w:cs="Times New Roman"/>
          <w:i/>
          <w:iCs/>
          <w:sz w:val="24"/>
          <w:szCs w:val="24"/>
          <w:u w:val="single"/>
          <w:lang w:val="ru-RU"/>
        </w:rPr>
      </w:pPr>
    </w:p>
    <w:p w14:paraId="4692B705" w14:textId="20410DA2" w:rsidR="00D50E7D" w:rsidRPr="00157F82" w:rsidRDefault="00D50E7D" w:rsidP="002B0543">
      <w:pPr>
        <w:jc w:val="both"/>
        <w:rPr>
          <w:rFonts w:eastAsia="Times New Roman" w:cs="Times New Roman"/>
          <w:sz w:val="24"/>
          <w:szCs w:val="24"/>
          <w:u w:val="single"/>
          <w:lang w:val="ru-RU"/>
        </w:rPr>
      </w:pPr>
      <w:r w:rsidRPr="00157F82">
        <w:rPr>
          <w:rFonts w:eastAsia="Times New Roman" w:cs="Times New Roman"/>
          <w:sz w:val="24"/>
          <w:szCs w:val="24"/>
          <w:u w:val="single"/>
          <w:lang w:val="ru-RU"/>
        </w:rPr>
        <w:t>Особые группы пациентов.</w:t>
      </w:r>
    </w:p>
    <w:p w14:paraId="0F502A4E" w14:textId="77777777" w:rsidR="00383DBC" w:rsidRPr="00D50E7D" w:rsidRDefault="00383DBC" w:rsidP="002B0543">
      <w:pPr>
        <w:jc w:val="both"/>
        <w:rPr>
          <w:rFonts w:cs="Times New Roman"/>
          <w:i/>
          <w:iCs/>
          <w:sz w:val="24"/>
          <w:szCs w:val="24"/>
          <w:u w:val="single"/>
          <w:lang w:val="ru-RU"/>
        </w:rPr>
      </w:pPr>
      <w:r w:rsidRPr="00D50E7D">
        <w:rPr>
          <w:rFonts w:cs="Times New Roman"/>
          <w:i/>
          <w:iCs/>
          <w:sz w:val="24"/>
          <w:szCs w:val="24"/>
          <w:u w:val="single"/>
          <w:lang w:val="ru-RU"/>
        </w:rPr>
        <w:t>Пожилые люди</w:t>
      </w:r>
    </w:p>
    <w:p w14:paraId="1173BA6C" w14:textId="77777777" w:rsidR="00383DBC" w:rsidRPr="00D50E7D" w:rsidRDefault="00383DBC" w:rsidP="002B0543">
      <w:pPr>
        <w:jc w:val="both"/>
        <w:rPr>
          <w:rFonts w:cs="Times New Roman"/>
          <w:sz w:val="24"/>
          <w:szCs w:val="24"/>
          <w:lang w:val="ru-RU"/>
        </w:rPr>
      </w:pPr>
      <w:r w:rsidRPr="00D50E7D">
        <w:rPr>
          <w:rFonts w:cs="Times New Roman"/>
          <w:sz w:val="24"/>
          <w:szCs w:val="24"/>
          <w:lang w:val="ru-RU"/>
        </w:rPr>
        <w:t>Результаты демографической фармакокинетики свидетельствуют о том, что коррекция дозы у пожилых пациентов (возраст 65 лет и старше) не требуется. В клинических исследованиях не участвовали пациенты старше 61 года. Сипонимод следует применять с осторожностью у пожилых людей (см. раздел 4.2).</w:t>
      </w:r>
    </w:p>
    <w:p w14:paraId="1FC36AAC" w14:textId="77777777" w:rsidR="00383DBC" w:rsidRPr="00D50E7D" w:rsidRDefault="00383DBC" w:rsidP="002B0543">
      <w:pPr>
        <w:jc w:val="both"/>
        <w:rPr>
          <w:rFonts w:cs="Times New Roman"/>
          <w:i/>
          <w:iCs/>
          <w:sz w:val="24"/>
          <w:szCs w:val="24"/>
          <w:u w:val="single"/>
          <w:lang w:val="ru-RU"/>
        </w:rPr>
      </w:pPr>
      <w:r w:rsidRPr="00D50E7D">
        <w:rPr>
          <w:rFonts w:cs="Times New Roman"/>
          <w:i/>
          <w:iCs/>
          <w:sz w:val="24"/>
          <w:szCs w:val="24"/>
          <w:u w:val="single"/>
          <w:lang w:val="ru-RU"/>
        </w:rPr>
        <w:t>Пол</w:t>
      </w:r>
    </w:p>
    <w:p w14:paraId="26E00D1F" w14:textId="77777777" w:rsidR="00383DBC" w:rsidRPr="00D50E7D" w:rsidRDefault="00383DBC" w:rsidP="002B0543">
      <w:pPr>
        <w:jc w:val="both"/>
        <w:rPr>
          <w:rFonts w:cs="Times New Roman"/>
          <w:sz w:val="24"/>
          <w:szCs w:val="24"/>
          <w:lang w:val="ru-RU"/>
        </w:rPr>
      </w:pPr>
      <w:r w:rsidRPr="00D50E7D">
        <w:rPr>
          <w:rFonts w:cs="Times New Roman"/>
          <w:sz w:val="24"/>
          <w:szCs w:val="24"/>
          <w:lang w:val="ru-RU"/>
        </w:rPr>
        <w:t xml:space="preserve">Результаты демографической фармакокинетики свидетельствуют о том, что коррекция дозы в зависимости от пола не требуется. </w:t>
      </w:r>
    </w:p>
    <w:p w14:paraId="7C64206C" w14:textId="77777777" w:rsidR="00383DBC" w:rsidRPr="00383DBC" w:rsidRDefault="00383DBC" w:rsidP="002B0543">
      <w:pPr>
        <w:jc w:val="both"/>
        <w:rPr>
          <w:rFonts w:cs="Times New Roman"/>
          <w:i/>
          <w:iCs/>
          <w:sz w:val="24"/>
          <w:szCs w:val="24"/>
          <w:u w:val="single"/>
          <w:lang w:val="ru-RU"/>
        </w:rPr>
      </w:pPr>
      <w:r w:rsidRPr="00D50E7D">
        <w:rPr>
          <w:rFonts w:cs="Times New Roman"/>
          <w:i/>
          <w:iCs/>
          <w:sz w:val="24"/>
          <w:szCs w:val="24"/>
          <w:u w:val="single"/>
          <w:lang w:val="ru-RU"/>
        </w:rPr>
        <w:t>Раса/этническая</w:t>
      </w:r>
      <w:r w:rsidRPr="00383DBC">
        <w:rPr>
          <w:rFonts w:cs="Times New Roman"/>
          <w:i/>
          <w:iCs/>
          <w:sz w:val="24"/>
          <w:szCs w:val="24"/>
          <w:u w:val="single"/>
          <w:lang w:val="ru-RU"/>
        </w:rPr>
        <w:t xml:space="preserve"> принадлежность</w:t>
      </w:r>
    </w:p>
    <w:p w14:paraId="283CB7FC" w14:textId="77777777" w:rsidR="00383DBC" w:rsidRPr="00383DBC" w:rsidRDefault="00383DBC" w:rsidP="002B0543">
      <w:pPr>
        <w:jc w:val="both"/>
        <w:rPr>
          <w:rFonts w:cs="Times New Roman"/>
          <w:sz w:val="24"/>
          <w:szCs w:val="24"/>
          <w:lang w:val="ru-RU"/>
        </w:rPr>
      </w:pPr>
      <w:r w:rsidRPr="00383DBC">
        <w:rPr>
          <w:rFonts w:cs="Times New Roman"/>
          <w:sz w:val="24"/>
          <w:szCs w:val="24"/>
          <w:lang w:val="ru-RU"/>
        </w:rPr>
        <w:t>Фармакокинетические параметры разовой дозы не отличались у здоровых людей японского и европейского происхождения, что указывает на отсутствие этнической чувствительности к фармакокинетике сипонимода.</w:t>
      </w:r>
    </w:p>
    <w:p w14:paraId="3C6B15FD" w14:textId="77777777" w:rsidR="00383DBC" w:rsidRPr="00383DBC" w:rsidRDefault="00383DBC" w:rsidP="002B0543">
      <w:pPr>
        <w:jc w:val="both"/>
        <w:rPr>
          <w:rFonts w:cs="Times New Roman"/>
          <w:i/>
          <w:iCs/>
          <w:sz w:val="24"/>
          <w:szCs w:val="24"/>
          <w:u w:val="single"/>
          <w:lang w:val="ru-RU"/>
        </w:rPr>
      </w:pPr>
      <w:r w:rsidRPr="00383DBC">
        <w:rPr>
          <w:rFonts w:cs="Times New Roman"/>
          <w:i/>
          <w:iCs/>
          <w:sz w:val="24"/>
          <w:szCs w:val="24"/>
          <w:u w:val="single"/>
          <w:lang w:val="ru-RU"/>
        </w:rPr>
        <w:t>Почечная недостаточность</w:t>
      </w:r>
    </w:p>
    <w:p w14:paraId="733763C6" w14:textId="3327E685" w:rsidR="00383DBC" w:rsidRPr="00383DBC" w:rsidRDefault="00383DBC" w:rsidP="002B0543">
      <w:pPr>
        <w:jc w:val="both"/>
        <w:rPr>
          <w:rFonts w:cs="Times New Roman"/>
          <w:sz w:val="24"/>
          <w:szCs w:val="24"/>
          <w:lang w:val="ru-RU"/>
        </w:rPr>
      </w:pPr>
      <w:r w:rsidRPr="00383DBC">
        <w:rPr>
          <w:rFonts w:cs="Times New Roman"/>
          <w:sz w:val="24"/>
          <w:szCs w:val="24"/>
          <w:lang w:val="ru-RU"/>
        </w:rPr>
        <w:t>Коррекции дозы сипонимода у пациентов с легкой, умеренной или тяжелой почечной недостаточностью не требуется. Средний период полувыведения сипонимода и C</w:t>
      </w:r>
      <w:r w:rsidRPr="00383DBC">
        <w:rPr>
          <w:rFonts w:cs="Times New Roman"/>
          <w:sz w:val="24"/>
          <w:szCs w:val="24"/>
          <w:vertAlign w:val="subscript"/>
          <w:lang w:val="ru-RU"/>
        </w:rPr>
        <w:t>max</w:t>
      </w:r>
      <w:r w:rsidRPr="00383DBC">
        <w:rPr>
          <w:rFonts w:cs="Times New Roman"/>
          <w:sz w:val="24"/>
          <w:szCs w:val="24"/>
          <w:lang w:val="ru-RU"/>
        </w:rPr>
        <w:t xml:space="preserve"> (общая и несвязанная) были сопоставимы между пациентами с тяжелыми нарушениями функции почек и здоровыми людьми. Общая и несвязанная AUC были лишь незначительно увеличены (на 23</w:t>
      </w:r>
      <w:r w:rsidR="00D50E7D">
        <w:rPr>
          <w:rFonts w:cs="Times New Roman"/>
          <w:sz w:val="24"/>
          <w:szCs w:val="24"/>
          <w:lang w:val="ru-RU"/>
        </w:rPr>
        <w:noBreakHyphen/>
      </w:r>
      <w:r w:rsidRPr="00383DBC">
        <w:rPr>
          <w:rFonts w:cs="Times New Roman"/>
          <w:sz w:val="24"/>
          <w:szCs w:val="24"/>
          <w:lang w:val="ru-RU"/>
        </w:rPr>
        <w:t>33</w:t>
      </w:r>
      <w:r w:rsidR="00D50E7D">
        <w:rPr>
          <w:rFonts w:cs="Times New Roman"/>
          <w:sz w:val="24"/>
          <w:szCs w:val="24"/>
          <w:lang w:val="ru-RU"/>
        </w:rPr>
        <w:t> </w:t>
      </w:r>
      <w:r w:rsidRPr="00383DBC">
        <w:rPr>
          <w:rFonts w:cs="Times New Roman"/>
          <w:sz w:val="24"/>
          <w:szCs w:val="24"/>
          <w:lang w:val="ru-RU"/>
        </w:rPr>
        <w:t xml:space="preserve">%) по сравнению со здоровыми людьми. Влияние болезни почек в конечной стадии или гемодиализа на фармакокинетику сипонимода не изучалось. В связи с высокой степенью связывания сипонимода с белками плазмы </w:t>
      </w:r>
      <w:r w:rsidRPr="00383DBC">
        <w:rPr>
          <w:rFonts w:cs="Times New Roman"/>
          <w:sz w:val="24"/>
          <w:szCs w:val="24"/>
          <w:lang w:val="ru-RU"/>
        </w:rPr>
        <w:lastRenderedPageBreak/>
        <w:t>(&gt;99,9</w:t>
      </w:r>
      <w:r w:rsidR="00D50E7D">
        <w:rPr>
          <w:rFonts w:cs="Times New Roman"/>
          <w:sz w:val="24"/>
          <w:szCs w:val="24"/>
          <w:lang w:val="ru-RU"/>
        </w:rPr>
        <w:t> </w:t>
      </w:r>
      <w:r w:rsidRPr="00383DBC">
        <w:rPr>
          <w:rFonts w:cs="Times New Roman"/>
          <w:sz w:val="24"/>
          <w:szCs w:val="24"/>
          <w:lang w:val="ru-RU"/>
        </w:rPr>
        <w:t>%) не ожидается, что гемодиализ изменит общую и несвязанную концентрацию сипонимода, поэтому корректировки дозы на основании этих соображений не ожидается.</w:t>
      </w:r>
    </w:p>
    <w:p w14:paraId="2EFB8D1B" w14:textId="77777777" w:rsidR="00383DBC" w:rsidRPr="00383DBC" w:rsidRDefault="00383DBC" w:rsidP="002B0543">
      <w:pPr>
        <w:jc w:val="both"/>
        <w:rPr>
          <w:rFonts w:cs="Times New Roman"/>
          <w:i/>
          <w:iCs/>
          <w:sz w:val="24"/>
          <w:szCs w:val="24"/>
          <w:u w:val="single"/>
          <w:lang w:val="ru-RU"/>
        </w:rPr>
      </w:pPr>
      <w:r w:rsidRPr="00383DBC">
        <w:rPr>
          <w:rFonts w:cs="Times New Roman"/>
          <w:i/>
          <w:iCs/>
          <w:sz w:val="24"/>
          <w:szCs w:val="24"/>
          <w:u w:val="single"/>
          <w:lang w:val="ru-RU"/>
        </w:rPr>
        <w:t>Печеночная недостаточность</w:t>
      </w:r>
    </w:p>
    <w:p w14:paraId="03610720" w14:textId="48BDCD33" w:rsidR="00383DBC" w:rsidRPr="00383DBC" w:rsidRDefault="00383DBC" w:rsidP="002B0543">
      <w:pPr>
        <w:jc w:val="both"/>
        <w:rPr>
          <w:rFonts w:cs="Times New Roman"/>
          <w:sz w:val="24"/>
          <w:szCs w:val="24"/>
          <w:lang w:val="ru-RU"/>
        </w:rPr>
      </w:pPr>
      <w:r w:rsidRPr="00383DBC">
        <w:rPr>
          <w:rFonts w:cs="Times New Roman"/>
          <w:sz w:val="24"/>
          <w:szCs w:val="24"/>
          <w:lang w:val="ru-RU"/>
        </w:rPr>
        <w:t>Сипонимод не следует применять у пациентов с тяжелой печеночной недостаточностью (см. раздел 4.3). Коррекции дозы сипонимода для пациентов с легкой или умеренной печеночной недостаточностью не требуется. Фармакокинетика AUC несвязанного сипонимода на 15</w:t>
      </w:r>
      <w:r w:rsidR="00D50E7D">
        <w:rPr>
          <w:rFonts w:cs="Times New Roman"/>
          <w:sz w:val="24"/>
          <w:szCs w:val="24"/>
          <w:lang w:val="ru-RU"/>
        </w:rPr>
        <w:t> </w:t>
      </w:r>
      <w:r w:rsidRPr="00383DBC">
        <w:rPr>
          <w:rFonts w:cs="Times New Roman"/>
          <w:sz w:val="24"/>
          <w:szCs w:val="24"/>
          <w:lang w:val="ru-RU"/>
        </w:rPr>
        <w:t>% и 50</w:t>
      </w:r>
      <w:r w:rsidR="00D50E7D">
        <w:rPr>
          <w:rFonts w:cs="Times New Roman"/>
          <w:sz w:val="24"/>
          <w:szCs w:val="24"/>
          <w:lang w:val="ru-RU"/>
        </w:rPr>
        <w:t> </w:t>
      </w:r>
      <w:r w:rsidRPr="00383DBC">
        <w:rPr>
          <w:rFonts w:cs="Times New Roman"/>
          <w:sz w:val="24"/>
          <w:szCs w:val="24"/>
          <w:lang w:val="ru-RU"/>
        </w:rPr>
        <w:t>% выше у пациентов с умеренной и тяжелой печеночной недостаточностью, соответственно, по сравнению со здоровыми людьми для исследованной разовой дозы 0,25 мг. Средний период полувыведения сипонимода при печеночной недостаточности не изменялся.</w:t>
      </w:r>
    </w:p>
    <w:p w14:paraId="6EEB33A4" w14:textId="77777777" w:rsidR="00383DBC" w:rsidRPr="00383DBC" w:rsidRDefault="00383DBC" w:rsidP="002B0543">
      <w:pPr>
        <w:jc w:val="both"/>
        <w:rPr>
          <w:rFonts w:eastAsia="SimSun" w:cs="Times New Roman"/>
          <w:sz w:val="24"/>
          <w:szCs w:val="24"/>
          <w:lang w:val="ru-RU" w:eastAsia="ru-RU"/>
        </w:rPr>
      </w:pPr>
    </w:p>
    <w:p w14:paraId="09B55DAC" w14:textId="172E0DDB" w:rsidR="00A93F9E" w:rsidRPr="00383DBC" w:rsidRDefault="00A93F9E" w:rsidP="002B0543">
      <w:pPr>
        <w:autoSpaceDE w:val="0"/>
        <w:autoSpaceDN w:val="0"/>
        <w:adjustRightInd w:val="0"/>
        <w:jc w:val="both"/>
        <w:rPr>
          <w:rFonts w:eastAsia="TimesNewRomanPSMT" w:cs="Times New Roman"/>
          <w:b/>
          <w:sz w:val="24"/>
          <w:szCs w:val="24"/>
          <w:lang w:val="ru-RU" w:eastAsia="ru-RU"/>
        </w:rPr>
      </w:pPr>
      <w:bookmarkStart w:id="41" w:name="_i4i05dZ9RtpiRwMaVLtjPokR8"/>
      <w:bookmarkEnd w:id="41"/>
      <w:r w:rsidRPr="00383DBC">
        <w:rPr>
          <w:rFonts w:eastAsia="Times New Roman" w:cs="Times New Roman"/>
          <w:b/>
          <w:sz w:val="24"/>
          <w:szCs w:val="24"/>
          <w:lang w:val="ru-RU" w:eastAsia="ru-RU"/>
        </w:rPr>
        <w:t xml:space="preserve">5.3. </w:t>
      </w:r>
      <w:r w:rsidRPr="00383DBC">
        <w:rPr>
          <w:rFonts w:eastAsia="TimesNewRomanPSMT" w:cs="Times New Roman"/>
          <w:b/>
          <w:sz w:val="24"/>
          <w:szCs w:val="24"/>
          <w:lang w:val="ru-RU" w:eastAsia="ru-RU"/>
        </w:rPr>
        <w:t>Данные доклинической безопасности</w:t>
      </w:r>
    </w:p>
    <w:p w14:paraId="20EB971D" w14:textId="77777777" w:rsidR="00383DBC" w:rsidRPr="00383DBC" w:rsidRDefault="00383DBC" w:rsidP="002B0543">
      <w:pPr>
        <w:jc w:val="both"/>
        <w:rPr>
          <w:rFonts w:cs="Times New Roman"/>
          <w:sz w:val="24"/>
          <w:szCs w:val="24"/>
          <w:lang w:val="ru-RU"/>
        </w:rPr>
      </w:pPr>
      <w:bookmarkStart w:id="42" w:name="_i4i157h7XMhIvvLoAEekCF6iY"/>
      <w:bookmarkStart w:id="43" w:name="_i4i5LhY7T24k1czF4nVs8TxMm"/>
      <w:bookmarkEnd w:id="42"/>
      <w:bookmarkEnd w:id="43"/>
      <w:r w:rsidRPr="00383DBC">
        <w:rPr>
          <w:rFonts w:cs="Times New Roman"/>
          <w:sz w:val="24"/>
          <w:szCs w:val="24"/>
          <w:lang w:val="ru-RU"/>
        </w:rPr>
        <w:t>В исследованиях токсичности повторных доз у мышей, крыс и обезьян сипонимод заметно влиял на лимфоидную систему (лимфопения, лимфоидная атрофия и снижение реакции на антитела), что соответствует его основной фармакологической активности в отношении S1P1-рецепторов (см. раздел 5.1).</w:t>
      </w:r>
    </w:p>
    <w:p w14:paraId="0910E691" w14:textId="77777777" w:rsidR="00383DBC" w:rsidRPr="00383DBC" w:rsidRDefault="00383DBC" w:rsidP="002B0543">
      <w:pPr>
        <w:jc w:val="both"/>
        <w:rPr>
          <w:rFonts w:cs="Times New Roman"/>
          <w:sz w:val="24"/>
          <w:szCs w:val="24"/>
          <w:lang w:val="ru-RU"/>
        </w:rPr>
      </w:pPr>
      <w:r w:rsidRPr="00383DBC">
        <w:rPr>
          <w:rFonts w:cs="Times New Roman"/>
          <w:sz w:val="24"/>
          <w:szCs w:val="24"/>
          <w:lang w:val="ru-RU"/>
        </w:rPr>
        <w:t>Ограничивающими дозу токсическими эффектами у животных оказались нефротоксичность у мышей, увеличение массы тела у крыс и неблагоприятные эффекты со стороны ЦНС и желудочно-кишечного тракта у обезьян. Основными органами-мишенями токсичности у грызунов были легкие, печень, щитовидная железа, почки и матка/влагалище. У обезьян дополнительно наблюдалось воздействие на мышцы и кожу. Эти токсические эффекты развивались при более чем 30-кратном превышении системного уровня сипонимода по сравнению с AUC, рассчитанной для человека при поддерживающей дозе 2 мг/сутки.</w:t>
      </w:r>
    </w:p>
    <w:p w14:paraId="6869F089" w14:textId="0BB91C57" w:rsidR="00383DBC" w:rsidRPr="00383DBC" w:rsidRDefault="00383DBC" w:rsidP="002B0543">
      <w:pPr>
        <w:jc w:val="both"/>
        <w:rPr>
          <w:rFonts w:cs="Times New Roman"/>
          <w:sz w:val="24"/>
          <w:szCs w:val="24"/>
          <w:lang w:val="ru-RU"/>
        </w:rPr>
      </w:pPr>
      <w:r w:rsidRPr="00383DBC">
        <w:rPr>
          <w:rFonts w:cs="Times New Roman"/>
          <w:sz w:val="24"/>
          <w:szCs w:val="24"/>
          <w:lang w:val="ru-RU"/>
        </w:rPr>
        <w:t xml:space="preserve">Сипонимод не проявлял фототоксического или зависимого потенциала и не был генотоксичен </w:t>
      </w:r>
      <w:r w:rsidRPr="00383DBC">
        <w:rPr>
          <w:rFonts w:cs="Times New Roman"/>
          <w:i/>
          <w:iCs/>
          <w:sz w:val="24"/>
          <w:szCs w:val="24"/>
          <w:lang w:val="ru-RU"/>
        </w:rPr>
        <w:t>in vitro</w:t>
      </w:r>
      <w:r w:rsidR="006215CD">
        <w:rPr>
          <w:rFonts w:cs="Times New Roman"/>
          <w:sz w:val="24"/>
          <w:szCs w:val="24"/>
          <w:lang w:val="ru-RU"/>
        </w:rPr>
        <w:t xml:space="preserve"> и </w:t>
      </w:r>
      <w:r w:rsidRPr="00383DBC">
        <w:rPr>
          <w:rFonts w:cs="Times New Roman"/>
          <w:i/>
          <w:iCs/>
          <w:sz w:val="24"/>
          <w:szCs w:val="24"/>
          <w:lang w:val="ru-RU"/>
        </w:rPr>
        <w:t>in vivo.</w:t>
      </w:r>
    </w:p>
    <w:p w14:paraId="433DA9E3" w14:textId="77777777" w:rsidR="00383DBC" w:rsidRPr="00383DBC" w:rsidRDefault="00383DBC" w:rsidP="002B0543">
      <w:pPr>
        <w:jc w:val="both"/>
        <w:rPr>
          <w:rFonts w:cs="Times New Roman"/>
          <w:sz w:val="24"/>
          <w:szCs w:val="24"/>
          <w:u w:val="single"/>
          <w:lang w:val="ru-RU"/>
        </w:rPr>
      </w:pPr>
      <w:r w:rsidRPr="00383DBC">
        <w:rPr>
          <w:rFonts w:cs="Times New Roman"/>
          <w:sz w:val="24"/>
          <w:szCs w:val="24"/>
          <w:u w:val="single"/>
          <w:lang w:val="ru-RU"/>
        </w:rPr>
        <w:t>Канцерогенность</w:t>
      </w:r>
    </w:p>
    <w:p w14:paraId="2FAB3572" w14:textId="77777777" w:rsidR="00383DBC" w:rsidRPr="00383DBC" w:rsidRDefault="00383DBC" w:rsidP="002B0543">
      <w:pPr>
        <w:jc w:val="both"/>
        <w:rPr>
          <w:rFonts w:cs="Times New Roman"/>
          <w:sz w:val="24"/>
          <w:szCs w:val="24"/>
          <w:lang w:val="ru-RU"/>
        </w:rPr>
      </w:pPr>
      <w:r w:rsidRPr="00383DBC">
        <w:rPr>
          <w:rFonts w:cs="Times New Roman"/>
          <w:sz w:val="24"/>
          <w:szCs w:val="24"/>
          <w:lang w:val="ru-RU"/>
        </w:rPr>
        <w:t>В исследованиях канцерогенности сипонимод вызывал у мышей лимфому, гемангиому и гемангиосаркому, а у крыс-самцов - фолликулярную аденому и карциному щитовидной железы. Эти опухоли считаются либо специфическими для мышей, либо обусловленными метаболической адаптацией печени у особо чувствительных видов крыс и имеют сомнительное значение для человека.</w:t>
      </w:r>
    </w:p>
    <w:p w14:paraId="562E10EF" w14:textId="77777777" w:rsidR="00383DBC" w:rsidRPr="00383DBC" w:rsidRDefault="00383DBC" w:rsidP="002B0543">
      <w:pPr>
        <w:jc w:val="both"/>
        <w:rPr>
          <w:rFonts w:cs="Times New Roman"/>
          <w:sz w:val="24"/>
          <w:szCs w:val="24"/>
          <w:u w:val="single"/>
          <w:lang w:val="ru-RU"/>
        </w:rPr>
      </w:pPr>
      <w:r w:rsidRPr="00383DBC">
        <w:rPr>
          <w:rFonts w:cs="Times New Roman"/>
          <w:sz w:val="24"/>
          <w:szCs w:val="24"/>
          <w:u w:val="single"/>
          <w:lang w:val="ru-RU"/>
        </w:rPr>
        <w:t>Фертильность и токсичность для репродуктивной системы</w:t>
      </w:r>
    </w:p>
    <w:p w14:paraId="503E869C" w14:textId="5AC636F3" w:rsidR="00383DBC" w:rsidRPr="00383DBC" w:rsidRDefault="00383DBC" w:rsidP="002B0543">
      <w:pPr>
        <w:jc w:val="both"/>
        <w:rPr>
          <w:rFonts w:cs="Times New Roman"/>
          <w:sz w:val="24"/>
          <w:szCs w:val="24"/>
          <w:lang w:val="ru-RU"/>
        </w:rPr>
      </w:pPr>
      <w:r w:rsidRPr="00383DBC">
        <w:rPr>
          <w:rFonts w:cs="Times New Roman"/>
          <w:sz w:val="24"/>
          <w:szCs w:val="24"/>
          <w:lang w:val="ru-RU"/>
        </w:rPr>
        <w:t>Сипонимод не влиял на фертильность самцов и самок крыс вплоть до самой высокой испытанной дозы, что представляет собой примерно 19-кратный запас безопасности на основе системного воздействия на человек</w:t>
      </w:r>
      <w:r w:rsidR="00D50E7D">
        <w:rPr>
          <w:rFonts w:cs="Times New Roman"/>
          <w:sz w:val="24"/>
          <w:szCs w:val="24"/>
          <w:lang w:val="ru-RU"/>
        </w:rPr>
        <w:t xml:space="preserve">а (AUC) при суточной дозе 2 мг. </w:t>
      </w:r>
      <w:r w:rsidRPr="00383DBC">
        <w:rPr>
          <w:rFonts w:cs="Times New Roman"/>
          <w:sz w:val="24"/>
          <w:szCs w:val="24"/>
          <w:lang w:val="ru-RU"/>
        </w:rPr>
        <w:t>Известно,</w:t>
      </w:r>
      <w:r w:rsidR="00D50E7D">
        <w:rPr>
          <w:rFonts w:cs="Times New Roman"/>
          <w:sz w:val="24"/>
          <w:szCs w:val="24"/>
          <w:lang w:val="ru-RU"/>
        </w:rPr>
        <w:t> </w:t>
      </w:r>
      <w:r w:rsidRPr="00383DBC">
        <w:rPr>
          <w:rFonts w:cs="Times New Roman"/>
          <w:sz w:val="24"/>
          <w:szCs w:val="24"/>
          <w:lang w:val="ru-RU"/>
        </w:rPr>
        <w:t>что рецептор, на который воздействует сипонимод (рецептор сфинозин-1-фосфата), участвует в формировании сосудов во время эмбриогенеза.</w:t>
      </w:r>
    </w:p>
    <w:p w14:paraId="09BF001E" w14:textId="77777777" w:rsidR="00383DBC" w:rsidRPr="00383DBC" w:rsidRDefault="00383DBC" w:rsidP="002B0543">
      <w:pPr>
        <w:jc w:val="both"/>
        <w:rPr>
          <w:rFonts w:cs="Times New Roman"/>
          <w:sz w:val="24"/>
          <w:szCs w:val="24"/>
          <w:lang w:val="ru-RU"/>
        </w:rPr>
      </w:pPr>
      <w:r w:rsidRPr="00383DBC">
        <w:rPr>
          <w:rFonts w:cs="Times New Roman"/>
          <w:sz w:val="24"/>
          <w:szCs w:val="24"/>
          <w:lang w:val="ru-RU"/>
        </w:rPr>
        <w:t>В исследованиях эмбриофетального развития, проведенных на крысах и кроликах, сипонимод вызывал эмбриотоксические эффекты при отсутствии материнской токсичности. У обоих видов увеличивалась пренатальная смертность. Если у крыс отмечалось большее количество плодов с внешними, скелетными и висцеральными пороками развития (например, расщелиной нёба и неправильной формой ключиц, кардиомегалией и отеками), то у кроликов преимущественно наблюдались скелетные и висцеральные отклонения.</w:t>
      </w:r>
    </w:p>
    <w:p w14:paraId="7F743285" w14:textId="77777777" w:rsidR="00383DBC" w:rsidRPr="00383DBC" w:rsidRDefault="00383DBC" w:rsidP="002B0543">
      <w:pPr>
        <w:jc w:val="both"/>
        <w:rPr>
          <w:rFonts w:cs="Times New Roman"/>
          <w:sz w:val="24"/>
          <w:szCs w:val="24"/>
          <w:lang w:val="ru-RU"/>
        </w:rPr>
      </w:pPr>
      <w:r w:rsidRPr="00383DBC">
        <w:rPr>
          <w:rFonts w:cs="Times New Roman"/>
          <w:sz w:val="24"/>
          <w:szCs w:val="24"/>
          <w:lang w:val="ru-RU"/>
        </w:rPr>
        <w:t>В исследовании пренатального и постнатального развития, проведенном на крысах, было отмечено увеличение числа мертвых (мертворожденных или найденных мертвыми до 4-го постнатального дня) и неполноценных детенышей (детеныши мужского пола с урогенитальными пороками и/или уменьшенным аногенитальным расстоянием; детеныши обоих полов с отеками, опухшей мягкой черепной коробкой или согнутыми задними конечностями).</w:t>
      </w:r>
    </w:p>
    <w:p w14:paraId="27C31E4A" w14:textId="315F6CA4" w:rsidR="00383DBC" w:rsidRPr="00383DBC" w:rsidRDefault="00383DBC" w:rsidP="002B0543">
      <w:pPr>
        <w:jc w:val="both"/>
        <w:rPr>
          <w:rFonts w:cs="Times New Roman"/>
          <w:sz w:val="24"/>
          <w:szCs w:val="24"/>
          <w:lang w:val="ru-RU"/>
        </w:rPr>
      </w:pPr>
      <w:r w:rsidRPr="00383DBC">
        <w:rPr>
          <w:rFonts w:cs="Times New Roman"/>
          <w:sz w:val="24"/>
          <w:szCs w:val="24"/>
          <w:lang w:val="ru-RU"/>
        </w:rPr>
        <w:lastRenderedPageBreak/>
        <w:t>Уровни воздействия (AUC) при соответствующем уровне отсутствия неблагоприятных событий для эмбриофетального (крысы и кролики) и пре-/постнатального (крысы) развития были ниже системного воздействия (AUC) для человека при суточной дозе 2</w:t>
      </w:r>
      <w:r w:rsidR="00D50E7D">
        <w:rPr>
          <w:rFonts w:cs="Times New Roman"/>
          <w:sz w:val="24"/>
          <w:szCs w:val="24"/>
          <w:lang w:val="ru-RU"/>
        </w:rPr>
        <w:t> </w:t>
      </w:r>
      <w:r w:rsidRPr="00383DBC">
        <w:rPr>
          <w:rFonts w:cs="Times New Roman"/>
          <w:sz w:val="24"/>
          <w:szCs w:val="24"/>
          <w:lang w:val="ru-RU"/>
        </w:rPr>
        <w:t>мг, и, следовательно, запас безопасности исключается.</w:t>
      </w:r>
    </w:p>
    <w:p w14:paraId="65BAFD14" w14:textId="45B96FF5" w:rsidR="00A93F9E" w:rsidRPr="00383DBC" w:rsidRDefault="00A93F9E" w:rsidP="002B0543">
      <w:pPr>
        <w:pStyle w:val="1"/>
        <w:spacing w:before="240" w:after="0"/>
        <w:jc w:val="both"/>
        <w:rPr>
          <w:rFonts w:cs="Times New Roman"/>
          <w:sz w:val="24"/>
          <w:szCs w:val="24"/>
          <w:lang w:val="ru-RU"/>
        </w:rPr>
      </w:pPr>
      <w:r w:rsidRPr="00383DBC">
        <w:rPr>
          <w:rFonts w:cs="Times New Roman"/>
          <w:sz w:val="24"/>
          <w:szCs w:val="24"/>
          <w:lang w:val="ru-RU"/>
        </w:rPr>
        <w:t>6. ФАРМАЦЕВТИЧЕСКИЕ СВОЙСТВА</w:t>
      </w:r>
    </w:p>
    <w:p w14:paraId="518BDE34" w14:textId="6B7DF8B8" w:rsidR="00A93F9E" w:rsidRPr="00383DBC" w:rsidRDefault="00A93F9E" w:rsidP="002B0543">
      <w:pPr>
        <w:autoSpaceDE w:val="0"/>
        <w:autoSpaceDN w:val="0"/>
        <w:adjustRightInd w:val="0"/>
        <w:jc w:val="both"/>
        <w:rPr>
          <w:rFonts w:eastAsia="TimesNewRomanPSMT" w:cs="Times New Roman"/>
          <w:b/>
          <w:sz w:val="24"/>
          <w:szCs w:val="24"/>
          <w:lang w:val="ru-RU" w:eastAsia="ru-RU"/>
        </w:rPr>
      </w:pPr>
      <w:bookmarkStart w:id="44" w:name="_i4i0Ft4pw7GhLE1eWypaB1Kyi"/>
      <w:bookmarkEnd w:id="44"/>
      <w:r w:rsidRPr="00383DBC">
        <w:rPr>
          <w:rFonts w:eastAsia="Times New Roman" w:cs="Times New Roman"/>
          <w:b/>
          <w:sz w:val="24"/>
          <w:szCs w:val="24"/>
          <w:lang w:val="ru-RU" w:eastAsia="ru-RU"/>
        </w:rPr>
        <w:t xml:space="preserve">6.1. </w:t>
      </w:r>
      <w:r w:rsidRPr="00383DBC">
        <w:rPr>
          <w:rFonts w:eastAsia="TimesNewRomanPSMT" w:cs="Times New Roman"/>
          <w:b/>
          <w:sz w:val="24"/>
          <w:szCs w:val="24"/>
          <w:lang w:val="ru-RU" w:eastAsia="ru-RU"/>
        </w:rPr>
        <w:t>Перечень вспомогательных веществ</w:t>
      </w:r>
    </w:p>
    <w:p w14:paraId="209BCF24" w14:textId="0F084ADB" w:rsidR="00612A59" w:rsidRPr="00F5638D" w:rsidRDefault="00612A59" w:rsidP="00612A59">
      <w:pPr>
        <w:jc w:val="both"/>
        <w:rPr>
          <w:rFonts w:cs="Times New Roman"/>
          <w:sz w:val="24"/>
          <w:szCs w:val="24"/>
          <w:u w:val="single"/>
          <w:lang w:val="ru-RU"/>
        </w:rPr>
      </w:pPr>
      <w:bookmarkStart w:id="45" w:name="_i4i1PymoEwd474Z5FTU2awpv7"/>
      <w:bookmarkEnd w:id="45"/>
      <w:r w:rsidRPr="00F5638D">
        <w:rPr>
          <w:rFonts w:cs="Times New Roman"/>
          <w:i/>
          <w:iCs/>
          <w:sz w:val="24"/>
          <w:szCs w:val="24"/>
          <w:u w:val="single"/>
          <w:lang w:val="ru-RU"/>
        </w:rPr>
        <w:t>Ядро таблетки</w:t>
      </w:r>
    </w:p>
    <w:p w14:paraId="14666E8C" w14:textId="77777777" w:rsidR="00612A59" w:rsidRPr="00F5638D" w:rsidRDefault="00612A59" w:rsidP="00612A59">
      <w:pPr>
        <w:jc w:val="both"/>
        <w:rPr>
          <w:rFonts w:cs="Times New Roman"/>
          <w:iCs/>
          <w:sz w:val="24"/>
          <w:szCs w:val="24"/>
          <w:lang w:val="ru-RU"/>
        </w:rPr>
      </w:pPr>
      <w:r w:rsidRPr="00F5638D">
        <w:rPr>
          <w:rFonts w:cs="Times New Roman"/>
          <w:iCs/>
          <w:sz w:val="24"/>
          <w:szCs w:val="24"/>
          <w:lang w:val="ru-RU"/>
        </w:rPr>
        <w:t>Изомальт</w:t>
      </w:r>
    </w:p>
    <w:p w14:paraId="38ABBBDD" w14:textId="79C2440B" w:rsidR="00612A59" w:rsidRPr="00F5638D" w:rsidRDefault="00612A59" w:rsidP="00612A59">
      <w:pPr>
        <w:jc w:val="both"/>
        <w:rPr>
          <w:rFonts w:cs="Times New Roman"/>
          <w:iCs/>
          <w:sz w:val="24"/>
          <w:szCs w:val="24"/>
          <w:lang w:val="ru-RU"/>
        </w:rPr>
      </w:pPr>
      <w:r w:rsidRPr="00F5638D">
        <w:rPr>
          <w:rFonts w:cs="Times New Roman"/>
          <w:iCs/>
          <w:sz w:val="24"/>
          <w:szCs w:val="24"/>
          <w:lang w:val="ru-RU"/>
        </w:rPr>
        <w:t>К</w:t>
      </w:r>
      <w:r w:rsidR="00DC44D5" w:rsidRPr="00F5638D">
        <w:rPr>
          <w:rFonts w:cs="Times New Roman"/>
          <w:iCs/>
          <w:sz w:val="24"/>
          <w:szCs w:val="24"/>
          <w:lang w:val="ru-RU"/>
        </w:rPr>
        <w:t>армеллоза</w:t>
      </w:r>
      <w:r w:rsidR="00DC44D5" w:rsidRPr="00CB4A7D">
        <w:rPr>
          <w:rFonts w:cs="Times New Roman"/>
          <w:iCs/>
          <w:sz w:val="24"/>
          <w:szCs w:val="24"/>
          <w:lang w:val="ru-RU"/>
        </w:rPr>
        <w:t xml:space="preserve"> </w:t>
      </w:r>
      <w:r w:rsidR="00DC44D5" w:rsidRPr="00F5638D">
        <w:rPr>
          <w:rFonts w:cs="Times New Roman"/>
          <w:iCs/>
          <w:sz w:val="24"/>
          <w:szCs w:val="24"/>
          <w:lang w:val="ru-RU"/>
        </w:rPr>
        <w:t>к</w:t>
      </w:r>
      <w:r w:rsidRPr="00F5638D">
        <w:rPr>
          <w:rFonts w:cs="Times New Roman"/>
          <w:iCs/>
          <w:sz w:val="24"/>
          <w:szCs w:val="24"/>
          <w:lang w:val="ru-RU"/>
        </w:rPr>
        <w:t xml:space="preserve">альция </w:t>
      </w:r>
    </w:p>
    <w:p w14:paraId="2F52E04F" w14:textId="77777777" w:rsidR="00612A59" w:rsidRPr="00F5638D" w:rsidRDefault="00612A59" w:rsidP="00612A59">
      <w:pPr>
        <w:jc w:val="both"/>
        <w:rPr>
          <w:rFonts w:cs="Times New Roman"/>
          <w:iCs/>
          <w:sz w:val="24"/>
          <w:szCs w:val="24"/>
          <w:lang w:val="ru-RU"/>
        </w:rPr>
      </w:pPr>
      <w:r w:rsidRPr="00F5638D">
        <w:rPr>
          <w:rFonts w:cs="Times New Roman"/>
          <w:iCs/>
          <w:sz w:val="24"/>
          <w:szCs w:val="24"/>
          <w:lang w:val="ru-RU"/>
        </w:rPr>
        <w:t>Магния стеарат</w:t>
      </w:r>
    </w:p>
    <w:p w14:paraId="1973F411" w14:textId="77777777" w:rsidR="00612A59" w:rsidRPr="00F5638D" w:rsidRDefault="00612A59" w:rsidP="00612A59">
      <w:pPr>
        <w:jc w:val="both"/>
        <w:rPr>
          <w:rFonts w:cs="Times New Roman"/>
          <w:i/>
          <w:iCs/>
          <w:sz w:val="24"/>
          <w:szCs w:val="24"/>
          <w:u w:val="single"/>
          <w:lang w:val="ru-RU"/>
        </w:rPr>
      </w:pPr>
      <w:r w:rsidRPr="00F5638D">
        <w:rPr>
          <w:rFonts w:cs="Times New Roman"/>
          <w:i/>
          <w:iCs/>
          <w:sz w:val="24"/>
          <w:szCs w:val="24"/>
          <w:u w:val="single"/>
          <w:lang w:val="ru-RU"/>
        </w:rPr>
        <w:t>Оболочка таблетки</w:t>
      </w:r>
    </w:p>
    <w:p w14:paraId="106700F4" w14:textId="77777777" w:rsidR="00612A59" w:rsidRPr="00F5638D" w:rsidRDefault="00612A59" w:rsidP="00612A59">
      <w:pPr>
        <w:jc w:val="both"/>
        <w:rPr>
          <w:rFonts w:cs="Times New Roman"/>
          <w:sz w:val="24"/>
          <w:szCs w:val="24"/>
          <w:lang w:val="ru-RU"/>
        </w:rPr>
      </w:pPr>
      <w:r w:rsidRPr="00F5638D">
        <w:rPr>
          <w:rFonts w:cs="Times New Roman"/>
          <w:sz w:val="24"/>
          <w:szCs w:val="24"/>
          <w:lang w:val="ru-RU"/>
        </w:rPr>
        <w:t xml:space="preserve">Спирт поливиниловый, частично гидролизованный </w:t>
      </w:r>
    </w:p>
    <w:p w14:paraId="5A9C3CC6" w14:textId="77777777" w:rsidR="00612A59" w:rsidRPr="00F5638D" w:rsidRDefault="00612A59" w:rsidP="00612A59">
      <w:pPr>
        <w:jc w:val="both"/>
        <w:rPr>
          <w:rFonts w:cs="Times New Roman"/>
          <w:sz w:val="24"/>
          <w:szCs w:val="24"/>
          <w:lang w:val="ru-RU"/>
        </w:rPr>
      </w:pPr>
      <w:r w:rsidRPr="00F5638D">
        <w:rPr>
          <w:rFonts w:cs="Times New Roman"/>
          <w:sz w:val="24"/>
          <w:szCs w:val="24"/>
          <w:lang w:val="ru-RU"/>
        </w:rPr>
        <w:t>Макрогол 4000</w:t>
      </w:r>
    </w:p>
    <w:p w14:paraId="36D4513F" w14:textId="77777777" w:rsidR="00612A59" w:rsidRPr="00F5638D" w:rsidRDefault="00612A59" w:rsidP="00612A59">
      <w:pPr>
        <w:jc w:val="both"/>
        <w:rPr>
          <w:rFonts w:cs="Times New Roman"/>
          <w:sz w:val="24"/>
          <w:szCs w:val="24"/>
          <w:lang w:val="ru-RU"/>
        </w:rPr>
      </w:pPr>
      <w:r w:rsidRPr="00F5638D">
        <w:rPr>
          <w:rFonts w:cs="Times New Roman"/>
          <w:sz w:val="24"/>
          <w:szCs w:val="24"/>
          <w:lang w:val="ru-RU"/>
        </w:rPr>
        <w:t>Тальк</w:t>
      </w:r>
    </w:p>
    <w:p w14:paraId="0A3DA526" w14:textId="77777777" w:rsidR="00612A59" w:rsidRPr="00F5638D" w:rsidRDefault="00612A59" w:rsidP="00612A59">
      <w:pPr>
        <w:jc w:val="both"/>
        <w:rPr>
          <w:rFonts w:cs="Times New Roman"/>
          <w:sz w:val="24"/>
          <w:szCs w:val="24"/>
          <w:lang w:val="ru-RU"/>
        </w:rPr>
      </w:pPr>
      <w:r w:rsidRPr="00F5638D">
        <w:rPr>
          <w:rFonts w:cs="Times New Roman"/>
          <w:sz w:val="24"/>
          <w:szCs w:val="24"/>
          <w:lang w:val="ru-RU"/>
        </w:rPr>
        <w:t>Титана диоксид (Е171)</w:t>
      </w:r>
    </w:p>
    <w:p w14:paraId="79F54C50" w14:textId="4787B408" w:rsidR="00612A59" w:rsidRPr="00F5638D" w:rsidRDefault="00612A59" w:rsidP="00612A59">
      <w:pPr>
        <w:jc w:val="both"/>
        <w:rPr>
          <w:rFonts w:cs="Times New Roman"/>
          <w:sz w:val="24"/>
          <w:szCs w:val="24"/>
          <w:lang w:val="ru-RU"/>
        </w:rPr>
      </w:pPr>
      <w:r w:rsidRPr="00F5638D">
        <w:rPr>
          <w:rFonts w:cs="Times New Roman"/>
          <w:sz w:val="24"/>
          <w:szCs w:val="24"/>
          <w:lang w:val="ru-RU"/>
        </w:rPr>
        <w:t>Железа оксид красный (Е172)</w:t>
      </w:r>
      <w:r w:rsidR="00F5638D">
        <w:rPr>
          <w:rFonts w:cs="Times New Roman"/>
          <w:sz w:val="24"/>
          <w:szCs w:val="24"/>
          <w:lang w:val="ru-RU"/>
        </w:rPr>
        <w:t xml:space="preserve"> (</w:t>
      </w:r>
      <w:r w:rsidR="00F5638D" w:rsidRPr="00F5638D">
        <w:rPr>
          <w:rFonts w:cs="Times New Roman"/>
          <w:i/>
          <w:sz w:val="24"/>
          <w:szCs w:val="24"/>
          <w:lang w:val="ru-RU"/>
        </w:rPr>
        <w:t>для дозировки 0.25 мг</w:t>
      </w:r>
      <w:r w:rsidR="00F5638D">
        <w:rPr>
          <w:rFonts w:cs="Times New Roman"/>
          <w:sz w:val="24"/>
          <w:szCs w:val="24"/>
          <w:lang w:val="ru-RU"/>
        </w:rPr>
        <w:t>)</w:t>
      </w:r>
    </w:p>
    <w:p w14:paraId="527D8B07" w14:textId="6CD0F86C" w:rsidR="00612A59" w:rsidRPr="00F5638D" w:rsidRDefault="00612A59" w:rsidP="00612A59">
      <w:pPr>
        <w:jc w:val="both"/>
        <w:rPr>
          <w:rFonts w:cs="Times New Roman"/>
          <w:sz w:val="24"/>
          <w:szCs w:val="24"/>
          <w:lang w:val="ru-RU"/>
        </w:rPr>
      </w:pPr>
      <w:r w:rsidRPr="00F5638D">
        <w:rPr>
          <w:rFonts w:cs="Times New Roman"/>
          <w:sz w:val="24"/>
          <w:szCs w:val="24"/>
          <w:lang w:val="ru-RU"/>
        </w:rPr>
        <w:t>Железа оксид желтый (Е172)</w:t>
      </w:r>
      <w:r w:rsidR="00F5638D">
        <w:rPr>
          <w:rFonts w:cs="Times New Roman"/>
          <w:sz w:val="24"/>
          <w:szCs w:val="24"/>
          <w:lang w:val="ru-RU"/>
        </w:rPr>
        <w:t xml:space="preserve"> (</w:t>
      </w:r>
      <w:r w:rsidR="00F5638D" w:rsidRPr="00F5638D">
        <w:rPr>
          <w:rFonts w:cs="Times New Roman"/>
          <w:i/>
          <w:sz w:val="24"/>
          <w:szCs w:val="24"/>
          <w:lang w:val="ru-RU"/>
        </w:rPr>
        <w:t>для дозировки 0.25 мг и 2.0 мг</w:t>
      </w:r>
      <w:r w:rsidR="00F5638D">
        <w:rPr>
          <w:rFonts w:cs="Times New Roman"/>
          <w:sz w:val="24"/>
          <w:szCs w:val="24"/>
          <w:lang w:val="ru-RU"/>
        </w:rPr>
        <w:t>)</w:t>
      </w:r>
    </w:p>
    <w:p w14:paraId="354B7006" w14:textId="77777777" w:rsidR="00612A59" w:rsidRPr="00703AD5" w:rsidRDefault="00612A59" w:rsidP="00612A59">
      <w:pPr>
        <w:jc w:val="both"/>
        <w:rPr>
          <w:rFonts w:cs="Times New Roman"/>
          <w:sz w:val="24"/>
          <w:szCs w:val="24"/>
          <w:highlight w:val="yellow"/>
          <w:u w:val="single"/>
          <w:lang w:val="ru-RU"/>
        </w:rPr>
      </w:pPr>
    </w:p>
    <w:p w14:paraId="765BE8BD" w14:textId="51088640" w:rsidR="00A93F9E" w:rsidRPr="00383DBC" w:rsidRDefault="00A93F9E" w:rsidP="002B0543">
      <w:pPr>
        <w:autoSpaceDE w:val="0"/>
        <w:autoSpaceDN w:val="0"/>
        <w:adjustRightInd w:val="0"/>
        <w:jc w:val="both"/>
        <w:rPr>
          <w:rFonts w:eastAsia="TimesNewRomanPSMT" w:cs="Times New Roman"/>
          <w:b/>
          <w:sz w:val="24"/>
          <w:szCs w:val="24"/>
          <w:lang w:val="ru-RU" w:eastAsia="ru-RU"/>
        </w:rPr>
      </w:pPr>
      <w:bookmarkStart w:id="46" w:name="_i4i2EetrZ6XA7TS7Ltmbdr4iI"/>
      <w:bookmarkEnd w:id="46"/>
      <w:r w:rsidRPr="00383DBC">
        <w:rPr>
          <w:rFonts w:eastAsia="Times New Roman" w:cs="Times New Roman"/>
          <w:b/>
          <w:sz w:val="24"/>
          <w:szCs w:val="24"/>
          <w:lang w:val="ru-RU" w:eastAsia="ru-RU"/>
        </w:rPr>
        <w:t xml:space="preserve">6.2. </w:t>
      </w:r>
      <w:r w:rsidRPr="00383DBC">
        <w:rPr>
          <w:rFonts w:eastAsia="TimesNewRomanPSMT" w:cs="Times New Roman"/>
          <w:b/>
          <w:sz w:val="24"/>
          <w:szCs w:val="24"/>
          <w:lang w:val="ru-RU" w:eastAsia="ru-RU"/>
        </w:rPr>
        <w:t>Несовместимость</w:t>
      </w:r>
    </w:p>
    <w:p w14:paraId="3EFC8D74" w14:textId="214387D3" w:rsidR="00A93F9E" w:rsidRPr="00383DBC" w:rsidRDefault="00A93F9E" w:rsidP="002B0543">
      <w:pPr>
        <w:jc w:val="both"/>
        <w:rPr>
          <w:rFonts w:eastAsia="SimSun" w:cs="Times New Roman"/>
          <w:sz w:val="24"/>
          <w:szCs w:val="24"/>
          <w:lang w:val="ru-RU" w:eastAsia="ru-RU"/>
        </w:rPr>
      </w:pPr>
      <w:bookmarkStart w:id="47" w:name="_i4i287ZrGDbDyeO5DsKChWpFe"/>
      <w:bookmarkEnd w:id="47"/>
      <w:r w:rsidRPr="00383DBC">
        <w:rPr>
          <w:rFonts w:eastAsia="Times New Roman" w:cs="Times New Roman"/>
          <w:sz w:val="24"/>
          <w:szCs w:val="24"/>
          <w:lang w:val="ru-RU"/>
        </w:rPr>
        <w:t>Не применимо</w:t>
      </w:r>
      <w:r w:rsidRPr="00383DBC">
        <w:rPr>
          <w:rFonts w:eastAsia="SimSun" w:cs="Times New Roman"/>
          <w:sz w:val="24"/>
          <w:szCs w:val="24"/>
          <w:lang w:val="ru-RU" w:eastAsia="ru-RU"/>
        </w:rPr>
        <w:t>.</w:t>
      </w:r>
    </w:p>
    <w:p w14:paraId="79CB702E" w14:textId="4BF8C251" w:rsidR="00A93F9E" w:rsidRPr="00383DBC" w:rsidRDefault="00A93F9E" w:rsidP="002B0543">
      <w:pPr>
        <w:jc w:val="both"/>
        <w:rPr>
          <w:rFonts w:eastAsia="SimSun" w:cs="Times New Roman"/>
          <w:sz w:val="24"/>
          <w:szCs w:val="24"/>
          <w:lang w:val="ru-RU" w:eastAsia="ru-RU"/>
        </w:rPr>
      </w:pPr>
    </w:p>
    <w:p w14:paraId="0C9B9B23" w14:textId="38BB1B54" w:rsidR="00A93F9E" w:rsidRPr="00C6706B" w:rsidRDefault="00A93F9E" w:rsidP="002B0543">
      <w:pPr>
        <w:jc w:val="both"/>
        <w:rPr>
          <w:rFonts w:eastAsia="Times New Roman" w:cs="Times New Roman"/>
          <w:b/>
          <w:sz w:val="24"/>
          <w:szCs w:val="24"/>
          <w:lang w:val="ru-RU"/>
        </w:rPr>
      </w:pPr>
      <w:bookmarkStart w:id="48" w:name="_i4i5xItxM3HeUdOo6RcU9kmJ8"/>
      <w:bookmarkEnd w:id="48"/>
      <w:r w:rsidRPr="00C6706B">
        <w:rPr>
          <w:rFonts w:eastAsia="Times New Roman" w:cs="Times New Roman"/>
          <w:b/>
          <w:sz w:val="24"/>
          <w:szCs w:val="24"/>
          <w:lang w:val="ru-RU"/>
        </w:rPr>
        <w:t>6.3</w:t>
      </w:r>
      <w:r w:rsidRPr="00C6706B">
        <w:rPr>
          <w:rFonts w:eastAsia="Times New Roman" w:cs="Times New Roman"/>
          <w:sz w:val="24"/>
          <w:szCs w:val="24"/>
          <w:lang w:val="ru-RU"/>
        </w:rPr>
        <w:t xml:space="preserve"> </w:t>
      </w:r>
      <w:r w:rsidRPr="00C6706B">
        <w:rPr>
          <w:rFonts w:eastAsia="Times New Roman" w:cs="Times New Roman"/>
          <w:b/>
          <w:sz w:val="24"/>
          <w:szCs w:val="24"/>
          <w:lang w:val="ru-RU"/>
        </w:rPr>
        <w:t>Срок годности</w:t>
      </w:r>
    </w:p>
    <w:p w14:paraId="489B3C18" w14:textId="092A972A" w:rsidR="00A93F9E" w:rsidRPr="00C6706B" w:rsidRDefault="00B8491B" w:rsidP="002B0543">
      <w:pPr>
        <w:jc w:val="both"/>
        <w:rPr>
          <w:rFonts w:eastAsia="Times New Roman" w:cs="Times New Roman"/>
          <w:sz w:val="24"/>
          <w:szCs w:val="24"/>
          <w:lang w:val="ru-RU"/>
        </w:rPr>
      </w:pPr>
      <w:bookmarkStart w:id="49" w:name="_i4i1cSnxmkxI9DivFeBCjXt6N"/>
      <w:bookmarkEnd w:id="49"/>
      <w:r w:rsidRPr="00C6706B">
        <w:rPr>
          <w:rFonts w:eastAsia="Times New Roman" w:cs="Times New Roman"/>
          <w:sz w:val="24"/>
          <w:szCs w:val="24"/>
          <w:lang w:val="ru-RU"/>
        </w:rPr>
        <w:t>2</w:t>
      </w:r>
      <w:r w:rsidR="005808CB" w:rsidRPr="00C6706B">
        <w:rPr>
          <w:rFonts w:eastAsia="Times New Roman" w:cs="Times New Roman"/>
          <w:sz w:val="24"/>
          <w:szCs w:val="24"/>
          <w:lang w:val="ru-RU"/>
        </w:rPr>
        <w:t xml:space="preserve"> </w:t>
      </w:r>
      <w:r w:rsidR="00A93F9E" w:rsidRPr="00C6706B">
        <w:rPr>
          <w:rFonts w:eastAsia="Times New Roman" w:cs="Times New Roman"/>
          <w:sz w:val="24"/>
          <w:szCs w:val="24"/>
          <w:lang w:val="ru-RU"/>
        </w:rPr>
        <w:t>года.</w:t>
      </w:r>
    </w:p>
    <w:p w14:paraId="065D4F45" w14:textId="77777777" w:rsidR="00A93F9E" w:rsidRPr="00C6706B" w:rsidRDefault="00A93F9E" w:rsidP="002B0543">
      <w:pPr>
        <w:jc w:val="both"/>
        <w:rPr>
          <w:rFonts w:eastAsia="SimSun" w:cs="Times New Roman"/>
          <w:sz w:val="24"/>
          <w:szCs w:val="24"/>
          <w:lang w:val="ru-RU" w:eastAsia="ru-RU"/>
        </w:rPr>
      </w:pPr>
      <w:r w:rsidRPr="00C6706B">
        <w:rPr>
          <w:rFonts w:eastAsia="Times New Roman" w:cs="Times New Roman"/>
          <w:sz w:val="24"/>
          <w:szCs w:val="24"/>
          <w:lang w:val="ru-RU"/>
        </w:rPr>
        <w:t>Не применять по истечении срока годности</w:t>
      </w:r>
      <w:r w:rsidRPr="00C6706B">
        <w:rPr>
          <w:rFonts w:eastAsia="SimSun" w:cs="Times New Roman"/>
          <w:sz w:val="24"/>
          <w:szCs w:val="24"/>
          <w:lang w:val="ru-RU" w:eastAsia="ru-RU"/>
        </w:rPr>
        <w:t>.</w:t>
      </w:r>
    </w:p>
    <w:p w14:paraId="44B6C8C8" w14:textId="4114B266" w:rsidR="00A93F9E" w:rsidRPr="00C6706B" w:rsidRDefault="00A93F9E" w:rsidP="002B0543">
      <w:pPr>
        <w:jc w:val="both"/>
        <w:rPr>
          <w:rFonts w:eastAsia="SimSun" w:cs="Times New Roman"/>
          <w:kern w:val="28"/>
          <w:sz w:val="24"/>
          <w:szCs w:val="24"/>
          <w:lang w:val="ru-RU" w:eastAsia="ru-RU"/>
        </w:rPr>
      </w:pPr>
    </w:p>
    <w:p w14:paraId="33417BC5" w14:textId="79DBF4DE" w:rsidR="00A93F9E" w:rsidRPr="00C6706B" w:rsidRDefault="00A93F9E" w:rsidP="002B0543">
      <w:pPr>
        <w:jc w:val="both"/>
        <w:rPr>
          <w:rFonts w:eastAsia="Times New Roman" w:cs="Times New Roman"/>
          <w:b/>
          <w:sz w:val="24"/>
          <w:szCs w:val="24"/>
          <w:lang w:val="ru-RU" w:eastAsia="ru-RU"/>
        </w:rPr>
      </w:pPr>
      <w:bookmarkStart w:id="50" w:name="_i4i4VfrX9xEK71mbBzmTcQMbs"/>
      <w:bookmarkEnd w:id="50"/>
      <w:r w:rsidRPr="00C6706B">
        <w:rPr>
          <w:rFonts w:eastAsia="Times New Roman" w:cs="Times New Roman"/>
          <w:b/>
          <w:sz w:val="24"/>
          <w:szCs w:val="24"/>
          <w:lang w:val="ru-RU" w:eastAsia="ru-RU"/>
        </w:rPr>
        <w:t xml:space="preserve">6.4 </w:t>
      </w:r>
      <w:r w:rsidRPr="00C6706B">
        <w:rPr>
          <w:rFonts w:eastAsia="Times New Roman" w:cs="Times New Roman"/>
          <w:b/>
          <w:sz w:val="24"/>
          <w:szCs w:val="24"/>
          <w:lang w:val="ru-RU"/>
        </w:rPr>
        <w:t xml:space="preserve">Особые </w:t>
      </w:r>
      <w:r w:rsidRPr="00C6706B">
        <w:rPr>
          <w:rFonts w:eastAsia="Times New Roman" w:cs="Times New Roman"/>
          <w:b/>
          <w:sz w:val="24"/>
          <w:szCs w:val="24"/>
          <w:lang w:val="ru-RU" w:eastAsia="ru-RU"/>
        </w:rPr>
        <w:t>меры предосторожности при хранении</w:t>
      </w:r>
    </w:p>
    <w:p w14:paraId="1CD23546" w14:textId="072A398D" w:rsidR="00383DBC" w:rsidRPr="00C6706B" w:rsidRDefault="003657EC" w:rsidP="002B0543">
      <w:pPr>
        <w:jc w:val="both"/>
        <w:rPr>
          <w:rFonts w:cs="Times New Roman"/>
          <w:sz w:val="24"/>
          <w:szCs w:val="24"/>
          <w:lang w:val="ru-RU"/>
        </w:rPr>
      </w:pPr>
      <w:bookmarkStart w:id="51" w:name="_i4i4YEuSYdNGoheZpLo4dp8Bq"/>
      <w:bookmarkEnd w:id="51"/>
      <w:r w:rsidRPr="00C6706B">
        <w:rPr>
          <w:rFonts w:cs="Times New Roman"/>
          <w:sz w:val="24"/>
          <w:szCs w:val="24"/>
          <w:lang w:val="ru-RU"/>
        </w:rPr>
        <w:t>Х</w:t>
      </w:r>
      <w:r w:rsidR="00383DBC" w:rsidRPr="00C6706B">
        <w:rPr>
          <w:rFonts w:cs="Times New Roman"/>
          <w:sz w:val="24"/>
          <w:szCs w:val="24"/>
          <w:lang w:val="ru-RU"/>
        </w:rPr>
        <w:t xml:space="preserve">ранить </w:t>
      </w:r>
      <w:r w:rsidR="001D2A84" w:rsidRPr="00C6706B">
        <w:rPr>
          <w:rFonts w:cs="Times New Roman"/>
          <w:sz w:val="24"/>
          <w:szCs w:val="24"/>
          <w:lang w:val="ru-RU"/>
        </w:rPr>
        <w:t xml:space="preserve">в оригинальной упаковке </w:t>
      </w:r>
      <w:r w:rsidR="00383DBC" w:rsidRPr="00C6706B">
        <w:rPr>
          <w:rFonts w:cs="Times New Roman"/>
          <w:sz w:val="24"/>
          <w:szCs w:val="24"/>
          <w:lang w:val="ru-RU"/>
        </w:rPr>
        <w:t xml:space="preserve">при температуре </w:t>
      </w:r>
      <w:r w:rsidRPr="00C6706B">
        <w:rPr>
          <w:rFonts w:cs="Times New Roman"/>
          <w:sz w:val="24"/>
          <w:szCs w:val="24"/>
          <w:lang w:val="ru-RU"/>
        </w:rPr>
        <w:t xml:space="preserve">не </w:t>
      </w:r>
      <w:r w:rsidR="00383DBC" w:rsidRPr="00C6706B">
        <w:rPr>
          <w:rFonts w:cs="Times New Roman"/>
          <w:sz w:val="24"/>
          <w:szCs w:val="24"/>
          <w:lang w:val="ru-RU"/>
        </w:rPr>
        <w:t xml:space="preserve">выше </w:t>
      </w:r>
      <w:r w:rsidR="00B8491B" w:rsidRPr="00C6706B">
        <w:rPr>
          <w:rFonts w:cs="Times New Roman"/>
          <w:sz w:val="24"/>
          <w:szCs w:val="24"/>
          <w:lang w:val="ru-RU"/>
        </w:rPr>
        <w:t xml:space="preserve">25 </w:t>
      </w:r>
      <w:r w:rsidR="00383DBC" w:rsidRPr="00C6706B">
        <w:rPr>
          <w:rFonts w:cs="Times New Roman"/>
          <w:sz w:val="24"/>
          <w:szCs w:val="24"/>
          <w:lang w:val="ru-RU"/>
        </w:rPr>
        <w:t>°C.</w:t>
      </w:r>
    </w:p>
    <w:p w14:paraId="20E62BAE" w14:textId="371F3617" w:rsidR="00A93F9E" w:rsidRPr="00C6706B" w:rsidRDefault="00F32C0F" w:rsidP="002B0543">
      <w:pPr>
        <w:jc w:val="both"/>
        <w:rPr>
          <w:rFonts w:eastAsia="Times New Roman" w:cs="Times New Roman"/>
          <w:sz w:val="24"/>
          <w:szCs w:val="24"/>
          <w:lang w:val="ru-RU"/>
        </w:rPr>
      </w:pPr>
      <w:r w:rsidRPr="00C6706B">
        <w:rPr>
          <w:rFonts w:eastAsia="Times New Roman" w:cs="Times New Roman"/>
          <w:sz w:val="24"/>
          <w:szCs w:val="24"/>
          <w:lang w:val="ru-RU"/>
        </w:rPr>
        <w:t>Хранить в недоступном для детей месте!</w:t>
      </w:r>
    </w:p>
    <w:p w14:paraId="436AECF8" w14:textId="77777777" w:rsidR="00F32C0F" w:rsidRPr="00C6706B" w:rsidRDefault="00F32C0F" w:rsidP="002B0543">
      <w:pPr>
        <w:jc w:val="both"/>
        <w:rPr>
          <w:rFonts w:eastAsia="SimSun" w:cs="Times New Roman"/>
          <w:sz w:val="24"/>
          <w:szCs w:val="24"/>
          <w:lang w:val="ru-RU" w:eastAsia="ru-RU"/>
        </w:rPr>
      </w:pPr>
    </w:p>
    <w:p w14:paraId="39267665" w14:textId="2217E8CA" w:rsidR="00A93F9E" w:rsidRPr="00C6706B" w:rsidRDefault="00A93F9E" w:rsidP="002B0543">
      <w:pPr>
        <w:autoSpaceDE w:val="0"/>
        <w:autoSpaceDN w:val="0"/>
        <w:adjustRightInd w:val="0"/>
        <w:jc w:val="both"/>
        <w:rPr>
          <w:rFonts w:eastAsia="TimesNewRomanPSMT" w:cs="Times New Roman"/>
          <w:b/>
          <w:sz w:val="24"/>
          <w:szCs w:val="24"/>
          <w:lang w:val="ru-RU" w:eastAsia="ru-RU"/>
        </w:rPr>
      </w:pPr>
      <w:r w:rsidRPr="00C6706B">
        <w:rPr>
          <w:rFonts w:eastAsia="Times New Roman" w:cs="Times New Roman"/>
          <w:b/>
          <w:sz w:val="24"/>
          <w:szCs w:val="24"/>
          <w:lang w:val="ru-RU" w:eastAsia="ru-RU"/>
        </w:rPr>
        <w:t>6.5 Форма выпуска и упаковка</w:t>
      </w:r>
    </w:p>
    <w:p w14:paraId="562414D7" w14:textId="77777777" w:rsidR="003657EC" w:rsidRPr="00C6706B" w:rsidRDefault="003657EC" w:rsidP="003657EC">
      <w:pPr>
        <w:rPr>
          <w:rFonts w:eastAsia="PMingLiU" w:cs="Times New Roman"/>
          <w:sz w:val="24"/>
          <w:szCs w:val="24"/>
          <w:lang w:val="ru-RU"/>
        </w:rPr>
      </w:pPr>
      <w:bookmarkStart w:id="52" w:name="_i4i29prKxCLdTN894jum0kNoU"/>
      <w:bookmarkStart w:id="53" w:name="_i4i79BWPytl1jN5URrZEFbQ6q"/>
      <w:bookmarkEnd w:id="52"/>
      <w:bookmarkEnd w:id="53"/>
      <w:r w:rsidRPr="00C6706B">
        <w:rPr>
          <w:rFonts w:eastAsia="PMingLiU" w:cs="Times New Roman"/>
          <w:sz w:val="24"/>
          <w:szCs w:val="24"/>
          <w:lang w:val="ru-RU"/>
        </w:rPr>
        <w:t>По 12 таблеток помещают в контурную ячейковую упаковку из полиамида/ алюминий/ поливинилхлорид/ алюминий.</w:t>
      </w:r>
    </w:p>
    <w:p w14:paraId="414068AD" w14:textId="57958DAE" w:rsidR="003657EC" w:rsidRPr="00C6706B" w:rsidRDefault="003657EC" w:rsidP="003657EC">
      <w:pPr>
        <w:jc w:val="both"/>
        <w:rPr>
          <w:rFonts w:eastAsia="PMingLiU" w:cs="Times New Roman"/>
          <w:sz w:val="24"/>
          <w:szCs w:val="24"/>
          <w:lang w:val="ru-RU"/>
        </w:rPr>
      </w:pPr>
      <w:r w:rsidRPr="00C6706B">
        <w:rPr>
          <w:rFonts w:eastAsia="PMingLiU" w:cs="Times New Roman"/>
          <w:sz w:val="24"/>
          <w:szCs w:val="24"/>
          <w:lang w:val="ru-RU"/>
        </w:rPr>
        <w:t>По 1 контурной ячейковой упаковке вместе с инструкцией по медицинскому применению на казахском и русском языках помещают в пачку картонную (</w:t>
      </w:r>
      <w:r w:rsidRPr="00C6706B">
        <w:rPr>
          <w:rFonts w:eastAsia="PMingLiU" w:cs="Times New Roman"/>
          <w:i/>
          <w:sz w:val="24"/>
          <w:szCs w:val="24"/>
          <w:lang w:val="ru-RU"/>
        </w:rPr>
        <w:t xml:space="preserve">для дозировки </w:t>
      </w:r>
      <w:r w:rsidR="00A4695F" w:rsidRPr="00C6706B">
        <w:rPr>
          <w:rFonts w:eastAsia="PMingLiU" w:cs="Times New Roman"/>
          <w:i/>
          <w:sz w:val="24"/>
          <w:szCs w:val="24"/>
          <w:lang w:val="ru-RU"/>
        </w:rPr>
        <w:t>0.2</w:t>
      </w:r>
      <w:r w:rsidRPr="00C6706B">
        <w:rPr>
          <w:rFonts w:eastAsia="PMingLiU" w:cs="Times New Roman"/>
          <w:i/>
          <w:sz w:val="24"/>
          <w:szCs w:val="24"/>
          <w:lang w:val="ru-RU"/>
        </w:rPr>
        <w:t>5 мг</w:t>
      </w:r>
      <w:r w:rsidRPr="00C6706B">
        <w:rPr>
          <w:rFonts w:eastAsia="PMingLiU" w:cs="Times New Roman"/>
          <w:sz w:val="24"/>
          <w:szCs w:val="24"/>
          <w:lang w:val="ru-RU"/>
        </w:rPr>
        <w:t>).</w:t>
      </w:r>
    </w:p>
    <w:p w14:paraId="5EFC9641" w14:textId="77777777" w:rsidR="003657EC" w:rsidRPr="00C6706B" w:rsidRDefault="003657EC" w:rsidP="003657EC">
      <w:pPr>
        <w:jc w:val="both"/>
        <w:rPr>
          <w:rFonts w:eastAsia="PMingLiU" w:cs="Times New Roman"/>
          <w:sz w:val="24"/>
          <w:szCs w:val="24"/>
          <w:u w:val="single"/>
          <w:lang w:val="uk-UA"/>
        </w:rPr>
      </w:pPr>
    </w:p>
    <w:p w14:paraId="1B1D1A8D" w14:textId="0DEEDE33" w:rsidR="003657EC" w:rsidRPr="003657EC" w:rsidRDefault="003657EC" w:rsidP="003657EC">
      <w:pPr>
        <w:rPr>
          <w:rFonts w:eastAsia="PMingLiU" w:cs="Times New Roman"/>
          <w:sz w:val="24"/>
          <w:szCs w:val="24"/>
          <w:lang w:val="ru-RU"/>
        </w:rPr>
      </w:pPr>
      <w:r w:rsidRPr="00C6706B">
        <w:rPr>
          <w:rFonts w:eastAsia="PMingLiU" w:cs="Times New Roman"/>
          <w:sz w:val="24"/>
          <w:szCs w:val="24"/>
          <w:lang w:val="ru-RU"/>
        </w:rPr>
        <w:t xml:space="preserve">По </w:t>
      </w:r>
      <w:r w:rsidR="00CB4A7D" w:rsidRPr="00C6706B">
        <w:rPr>
          <w:rFonts w:eastAsia="PMingLiU" w:cs="Times New Roman"/>
          <w:sz w:val="24"/>
          <w:szCs w:val="24"/>
          <w:lang w:val="ru-RU"/>
        </w:rPr>
        <w:t>14</w:t>
      </w:r>
      <w:r w:rsidRPr="00C6706B">
        <w:rPr>
          <w:rFonts w:eastAsia="PMingLiU" w:cs="Times New Roman"/>
          <w:sz w:val="24"/>
          <w:szCs w:val="24"/>
          <w:lang w:val="ru-RU"/>
        </w:rPr>
        <w:t xml:space="preserve"> таблеток</w:t>
      </w:r>
      <w:r w:rsidRPr="003657EC">
        <w:rPr>
          <w:rFonts w:eastAsia="PMingLiU" w:cs="Times New Roman"/>
          <w:sz w:val="24"/>
          <w:szCs w:val="24"/>
          <w:lang w:val="ru-RU"/>
        </w:rPr>
        <w:t xml:space="preserve"> помещают в контурную ячейковую упаковку из полиамида/ алюминий/ поливинилхлорид/ алюминий.</w:t>
      </w:r>
    </w:p>
    <w:p w14:paraId="46904C05" w14:textId="28C12985" w:rsidR="003657EC" w:rsidRPr="003657EC" w:rsidRDefault="003657EC" w:rsidP="003657EC">
      <w:pPr>
        <w:rPr>
          <w:rFonts w:eastAsia="PMingLiU" w:cs="Times New Roman"/>
          <w:sz w:val="24"/>
          <w:szCs w:val="24"/>
          <w:lang w:val="ru-RU"/>
        </w:rPr>
      </w:pPr>
      <w:r w:rsidRPr="003657EC">
        <w:rPr>
          <w:rFonts w:eastAsia="PMingLiU" w:cs="Times New Roman"/>
          <w:sz w:val="24"/>
          <w:szCs w:val="24"/>
          <w:lang w:val="ru-RU"/>
        </w:rPr>
        <w:t>По 2 контурные ячейковые упаковки вместе с инструкцией по медицинскому применению на казахском и русском языках помещают в пачку картонную (</w:t>
      </w:r>
      <w:r w:rsidRPr="003657EC">
        <w:rPr>
          <w:rFonts w:eastAsia="PMingLiU" w:cs="Times New Roman"/>
          <w:i/>
          <w:sz w:val="24"/>
          <w:szCs w:val="24"/>
          <w:lang w:val="ru-RU"/>
        </w:rPr>
        <w:t>для дозировки 1.0 мг и 2.0 мг</w:t>
      </w:r>
      <w:r w:rsidRPr="003657EC">
        <w:rPr>
          <w:rFonts w:eastAsia="PMingLiU" w:cs="Times New Roman"/>
          <w:sz w:val="24"/>
          <w:szCs w:val="24"/>
          <w:lang w:val="ru-RU"/>
        </w:rPr>
        <w:t>).</w:t>
      </w:r>
    </w:p>
    <w:p w14:paraId="156294A8" w14:textId="77777777" w:rsidR="003657EC" w:rsidRPr="003657EC" w:rsidRDefault="003657EC" w:rsidP="003657EC">
      <w:pPr>
        <w:rPr>
          <w:rFonts w:eastAsia="PMingLiU" w:cs="Times New Roman"/>
          <w:sz w:val="28"/>
          <w:szCs w:val="28"/>
          <w:highlight w:val="yellow"/>
          <w:lang w:val="ru-RU"/>
        </w:rPr>
      </w:pPr>
    </w:p>
    <w:p w14:paraId="574C80F3" w14:textId="1BB51341" w:rsidR="00A93F9E" w:rsidRPr="00383DBC" w:rsidRDefault="00A93F9E" w:rsidP="002B0543">
      <w:pPr>
        <w:autoSpaceDE w:val="0"/>
        <w:autoSpaceDN w:val="0"/>
        <w:adjustRightInd w:val="0"/>
        <w:jc w:val="both"/>
        <w:rPr>
          <w:rFonts w:eastAsia="TimesNewRomanPSMT" w:cs="Times New Roman"/>
          <w:b/>
          <w:sz w:val="24"/>
          <w:szCs w:val="24"/>
          <w:lang w:val="ru-RU" w:eastAsia="ru-RU"/>
        </w:rPr>
      </w:pPr>
      <w:r w:rsidRPr="00383DBC">
        <w:rPr>
          <w:rFonts w:eastAsia="Times New Roman" w:cs="Times New Roman"/>
          <w:b/>
          <w:sz w:val="24"/>
          <w:szCs w:val="24"/>
          <w:lang w:val="ru-RU" w:eastAsia="ru-RU"/>
        </w:rPr>
        <w:t xml:space="preserve">6.6 </w:t>
      </w:r>
      <w:r w:rsidRPr="00383DBC">
        <w:rPr>
          <w:rFonts w:eastAsia="TimesNewRomanPSMT" w:cs="Times New Roman"/>
          <w:b/>
          <w:sz w:val="24"/>
          <w:szCs w:val="24"/>
          <w:lang w:val="ru-RU" w:eastAsia="ru-RU"/>
        </w:rPr>
        <w:t xml:space="preserve">Особые меры предосторожности при уничтожении использованного лекарственного препарата или отходов, полученных после применения лекарственного препарата </w:t>
      </w:r>
      <w:r w:rsidR="00157F82">
        <w:rPr>
          <w:rFonts w:eastAsia="TimesNewRomanPSMT" w:cs="Times New Roman"/>
          <w:b/>
          <w:sz w:val="24"/>
          <w:szCs w:val="24"/>
          <w:lang w:val="ru-RU" w:eastAsia="ru-RU"/>
        </w:rPr>
        <w:t>и другие манипуляции с препаратом</w:t>
      </w:r>
    </w:p>
    <w:p w14:paraId="2EBA3C66" w14:textId="1F4D5501" w:rsidR="00A93F9E" w:rsidRDefault="00A93F9E" w:rsidP="002B0543">
      <w:pPr>
        <w:autoSpaceDE w:val="0"/>
        <w:autoSpaceDN w:val="0"/>
        <w:adjustRightInd w:val="0"/>
        <w:jc w:val="both"/>
        <w:rPr>
          <w:rFonts w:eastAsia="Times New Roman" w:cs="Times New Roman"/>
          <w:bCs/>
          <w:sz w:val="24"/>
          <w:szCs w:val="24"/>
          <w:lang w:val="ru-RU"/>
        </w:rPr>
      </w:pPr>
      <w:r w:rsidRPr="00383DBC">
        <w:rPr>
          <w:rFonts w:eastAsia="Times New Roman" w:cs="Times New Roman"/>
          <w:bCs/>
          <w:sz w:val="24"/>
          <w:szCs w:val="24"/>
          <w:lang w:val="ru-RU"/>
        </w:rPr>
        <w:t>Любой неиспользованный лекарственный препарат или отходы следует утилизировать в соответствии с местными требованиями.</w:t>
      </w:r>
    </w:p>
    <w:p w14:paraId="74C2C553" w14:textId="77777777" w:rsidR="008B79DB" w:rsidRPr="00DC44D5" w:rsidRDefault="008B79DB" w:rsidP="002B0543">
      <w:pPr>
        <w:autoSpaceDE w:val="0"/>
        <w:autoSpaceDN w:val="0"/>
        <w:adjustRightInd w:val="0"/>
        <w:jc w:val="both"/>
        <w:rPr>
          <w:rFonts w:eastAsia="Times New Roman" w:cs="Times New Roman"/>
          <w:bCs/>
          <w:sz w:val="24"/>
          <w:szCs w:val="24"/>
          <w:lang w:val="ru-RU"/>
        </w:rPr>
      </w:pPr>
    </w:p>
    <w:p w14:paraId="39ABDC89" w14:textId="77777777" w:rsidR="00A93F9E" w:rsidRPr="00383DBC" w:rsidRDefault="00A93F9E" w:rsidP="002B0543">
      <w:pPr>
        <w:autoSpaceDE w:val="0"/>
        <w:autoSpaceDN w:val="0"/>
        <w:adjustRightInd w:val="0"/>
        <w:jc w:val="both"/>
        <w:rPr>
          <w:rFonts w:eastAsia="Times New Roman" w:cs="Times New Roman"/>
          <w:b/>
          <w:bCs/>
          <w:sz w:val="24"/>
          <w:szCs w:val="24"/>
          <w:lang w:val="ru-RU"/>
        </w:rPr>
      </w:pPr>
      <w:r w:rsidRPr="00383DBC">
        <w:rPr>
          <w:rFonts w:eastAsia="Times New Roman" w:cs="Times New Roman"/>
          <w:b/>
          <w:bCs/>
          <w:sz w:val="24"/>
          <w:szCs w:val="24"/>
          <w:lang w:val="ru-RU"/>
        </w:rPr>
        <w:t xml:space="preserve">6.7 Условия отпуска из аптек </w:t>
      </w:r>
    </w:p>
    <w:p w14:paraId="1138588D" w14:textId="2CCA55AC" w:rsidR="00A93F9E" w:rsidRPr="00383DBC" w:rsidRDefault="00A93F9E" w:rsidP="002B0543">
      <w:pPr>
        <w:autoSpaceDE w:val="0"/>
        <w:autoSpaceDN w:val="0"/>
        <w:adjustRightInd w:val="0"/>
        <w:jc w:val="both"/>
        <w:rPr>
          <w:rFonts w:eastAsia="Times New Roman" w:cs="Times New Roman"/>
          <w:bCs/>
          <w:sz w:val="24"/>
          <w:szCs w:val="24"/>
          <w:lang w:val="ru-RU"/>
        </w:rPr>
      </w:pPr>
      <w:r w:rsidRPr="00383DBC">
        <w:rPr>
          <w:rFonts w:eastAsia="Times New Roman" w:cs="Times New Roman"/>
          <w:bCs/>
          <w:sz w:val="24"/>
          <w:szCs w:val="24"/>
          <w:lang w:val="ru-RU"/>
        </w:rPr>
        <w:t>По рецепту</w:t>
      </w:r>
      <w:bookmarkStart w:id="54" w:name="_i4i74MxYe1SG2TqJocFC1UUPR"/>
      <w:bookmarkStart w:id="55" w:name="_i4i301Fypg9TwdDFRpwO34h3K"/>
      <w:bookmarkEnd w:id="54"/>
      <w:bookmarkEnd w:id="55"/>
    </w:p>
    <w:p w14:paraId="39A9D876" w14:textId="58E21D3C" w:rsidR="00A93F9E" w:rsidRPr="00383DBC" w:rsidRDefault="00A93F9E" w:rsidP="002B0543">
      <w:pPr>
        <w:tabs>
          <w:tab w:val="left" w:pos="7080"/>
        </w:tabs>
        <w:jc w:val="both"/>
        <w:rPr>
          <w:rFonts w:eastAsia="Times New Roman" w:cs="Times New Roman"/>
          <w:sz w:val="24"/>
          <w:szCs w:val="24"/>
          <w:lang w:val="ru-RU" w:eastAsia="hu-HU"/>
        </w:rPr>
      </w:pPr>
      <w:bookmarkStart w:id="56" w:name="_i4i2i70zPFxv0ABQ77z6gov66"/>
      <w:bookmarkEnd w:id="56"/>
    </w:p>
    <w:p w14:paraId="3A5AA283" w14:textId="77777777" w:rsidR="00DC44D5" w:rsidRPr="000615AD" w:rsidRDefault="00DC44D5" w:rsidP="00DC44D5">
      <w:pPr>
        <w:jc w:val="both"/>
        <w:rPr>
          <w:rFonts w:cs="Times New Roman"/>
          <w:b/>
          <w:bCs/>
          <w:sz w:val="24"/>
          <w:szCs w:val="24"/>
          <w:lang w:val="ru-RU"/>
        </w:rPr>
      </w:pPr>
      <w:r w:rsidRPr="000615AD">
        <w:rPr>
          <w:rFonts w:eastAsia="Times New Roman" w:cs="Times New Roman"/>
          <w:b/>
          <w:sz w:val="24"/>
          <w:szCs w:val="24"/>
          <w:lang w:val="ru-RU" w:eastAsia="ru-RU"/>
        </w:rPr>
        <w:lastRenderedPageBreak/>
        <w:t xml:space="preserve">7. </w:t>
      </w:r>
      <w:r w:rsidRPr="000615AD">
        <w:rPr>
          <w:rFonts w:cs="Times New Roman"/>
          <w:b/>
          <w:bCs/>
          <w:sz w:val="24"/>
          <w:szCs w:val="24"/>
          <w:lang w:val="ru-RU"/>
        </w:rPr>
        <w:t>Держатель регистрационного удостоверения</w:t>
      </w:r>
    </w:p>
    <w:p w14:paraId="42194FE2" w14:textId="77777777" w:rsidR="00DC44D5" w:rsidRPr="000615AD" w:rsidRDefault="00DC44D5" w:rsidP="00DC44D5">
      <w:pPr>
        <w:pStyle w:val="25"/>
        <w:spacing w:after="0" w:line="240" w:lineRule="auto"/>
        <w:jc w:val="both"/>
        <w:rPr>
          <w:rFonts w:ascii="Times New Roman" w:hAnsi="Times New Roman"/>
          <w:sz w:val="24"/>
          <w:szCs w:val="24"/>
        </w:rPr>
      </w:pPr>
      <w:r w:rsidRPr="000615AD">
        <w:rPr>
          <w:rFonts w:ascii="Times New Roman" w:hAnsi="Times New Roman"/>
          <w:sz w:val="24"/>
          <w:szCs w:val="24"/>
        </w:rPr>
        <w:t>Великобритания</w:t>
      </w:r>
    </w:p>
    <w:p w14:paraId="601A7834" w14:textId="77777777" w:rsidR="00DC44D5" w:rsidRPr="000615AD" w:rsidRDefault="00DC44D5" w:rsidP="00DC44D5">
      <w:pPr>
        <w:pStyle w:val="25"/>
        <w:spacing w:after="0" w:line="240" w:lineRule="auto"/>
        <w:jc w:val="both"/>
        <w:rPr>
          <w:rFonts w:ascii="Times New Roman" w:hAnsi="Times New Roman"/>
          <w:sz w:val="24"/>
          <w:szCs w:val="24"/>
        </w:rPr>
      </w:pPr>
      <w:r w:rsidRPr="000615AD">
        <w:rPr>
          <w:rFonts w:ascii="Times New Roman" w:hAnsi="Times New Roman"/>
          <w:sz w:val="24"/>
          <w:szCs w:val="24"/>
        </w:rPr>
        <w:t>МИСТРАЛ КЭПИТЭЛ МЭНЕДЖМЕНТ ЛИМИТЕД</w:t>
      </w:r>
    </w:p>
    <w:p w14:paraId="72823A54" w14:textId="77777777" w:rsidR="00DC44D5" w:rsidRPr="000615AD" w:rsidRDefault="00DC44D5" w:rsidP="00DC44D5">
      <w:pPr>
        <w:pStyle w:val="25"/>
        <w:spacing w:after="0" w:line="240" w:lineRule="auto"/>
        <w:jc w:val="both"/>
        <w:rPr>
          <w:rFonts w:ascii="Times New Roman" w:hAnsi="Times New Roman"/>
          <w:sz w:val="24"/>
          <w:szCs w:val="24"/>
        </w:rPr>
      </w:pPr>
      <w:r w:rsidRPr="000615AD">
        <w:rPr>
          <w:rFonts w:ascii="Times New Roman" w:hAnsi="Times New Roman"/>
          <w:sz w:val="24"/>
          <w:szCs w:val="24"/>
        </w:rPr>
        <w:t>9 Уитмор Мэнор Клоуз, Ковентри, Англия, CV6 2PH, Великобритания</w:t>
      </w:r>
    </w:p>
    <w:p w14:paraId="0904A7BF" w14:textId="77777777" w:rsidR="00DC44D5" w:rsidRPr="000615AD" w:rsidRDefault="00DC44D5" w:rsidP="00DC44D5">
      <w:pPr>
        <w:pStyle w:val="25"/>
        <w:spacing w:after="0" w:line="240" w:lineRule="auto"/>
        <w:jc w:val="both"/>
        <w:rPr>
          <w:rFonts w:ascii="Times New Roman" w:hAnsi="Times New Roman"/>
          <w:sz w:val="24"/>
          <w:szCs w:val="24"/>
        </w:rPr>
      </w:pPr>
      <w:r w:rsidRPr="000615AD">
        <w:rPr>
          <w:rFonts w:ascii="Times New Roman" w:hAnsi="Times New Roman"/>
          <w:sz w:val="24"/>
          <w:szCs w:val="24"/>
        </w:rPr>
        <w:t>Номер телефона: +447872326293, +44 192 693 5385</w:t>
      </w:r>
    </w:p>
    <w:p w14:paraId="12A40E33" w14:textId="77777777" w:rsidR="00DC44D5" w:rsidRPr="000615AD" w:rsidRDefault="00DC44D5" w:rsidP="00DC44D5">
      <w:pPr>
        <w:pStyle w:val="25"/>
        <w:spacing w:after="0" w:line="240" w:lineRule="auto"/>
        <w:jc w:val="both"/>
        <w:rPr>
          <w:rFonts w:ascii="Times New Roman" w:hAnsi="Times New Roman"/>
          <w:b/>
          <w:iCs/>
          <w:sz w:val="24"/>
          <w:szCs w:val="24"/>
        </w:rPr>
      </w:pPr>
      <w:r w:rsidRPr="000615AD">
        <w:rPr>
          <w:rFonts w:ascii="Times New Roman" w:hAnsi="Times New Roman"/>
          <w:sz w:val="24"/>
          <w:szCs w:val="24"/>
        </w:rPr>
        <w:t xml:space="preserve">Электронный адрес: </w:t>
      </w:r>
      <w:hyperlink r:id="rId24" w:history="1">
        <w:r w:rsidRPr="000615AD">
          <w:rPr>
            <w:rStyle w:val="af8"/>
            <w:rFonts w:ascii="Times New Roman" w:hAnsi="Times New Roman"/>
            <w:sz w:val="24"/>
            <w:szCs w:val="24"/>
          </w:rPr>
          <w:t>info@mistral.capital</w:t>
        </w:r>
      </w:hyperlink>
      <w:r w:rsidRPr="000615AD">
        <w:rPr>
          <w:rFonts w:ascii="Times New Roman" w:hAnsi="Times New Roman"/>
          <w:b/>
          <w:iCs/>
          <w:sz w:val="24"/>
          <w:szCs w:val="24"/>
        </w:rPr>
        <w:t xml:space="preserve"> </w:t>
      </w:r>
    </w:p>
    <w:p w14:paraId="3AC17CC4" w14:textId="77777777" w:rsidR="00DC44D5" w:rsidRPr="000615AD" w:rsidRDefault="00DC44D5" w:rsidP="00DC44D5">
      <w:pPr>
        <w:jc w:val="both"/>
        <w:rPr>
          <w:rFonts w:eastAsia="SimSun" w:cs="Times New Roman"/>
          <w:sz w:val="24"/>
          <w:szCs w:val="24"/>
          <w:lang w:val="ru-RU" w:eastAsia="ru-RU"/>
        </w:rPr>
      </w:pPr>
    </w:p>
    <w:p w14:paraId="2BDC348F" w14:textId="77777777" w:rsidR="00DC44D5" w:rsidRPr="00C6706B" w:rsidRDefault="00DC44D5" w:rsidP="00DC44D5">
      <w:pPr>
        <w:jc w:val="both"/>
        <w:rPr>
          <w:rFonts w:cs="Times New Roman"/>
          <w:sz w:val="24"/>
          <w:szCs w:val="24"/>
          <w:lang w:val="ru-RU"/>
        </w:rPr>
      </w:pPr>
      <w:r w:rsidRPr="00C6706B">
        <w:rPr>
          <w:rFonts w:cs="Times New Roman"/>
          <w:b/>
          <w:sz w:val="24"/>
          <w:szCs w:val="24"/>
          <w:lang w:val="ru-RU" w:eastAsia="ru-RU"/>
        </w:rPr>
        <w:t xml:space="preserve">7.1. </w:t>
      </w:r>
      <w:r w:rsidRPr="00C6706B">
        <w:rPr>
          <w:rFonts w:cs="Times New Roman"/>
          <w:b/>
          <w:bCs/>
          <w:sz w:val="24"/>
          <w:szCs w:val="24"/>
          <w:lang w:val="ru-RU"/>
        </w:rPr>
        <w:t>Представитель держателя регистрационного удостоверения</w:t>
      </w:r>
    </w:p>
    <w:p w14:paraId="39D9251F" w14:textId="77777777" w:rsidR="00DC44D5" w:rsidRPr="00C6706B" w:rsidRDefault="00DC44D5" w:rsidP="00DC44D5">
      <w:pPr>
        <w:pStyle w:val="Style5"/>
        <w:widowControl/>
        <w:tabs>
          <w:tab w:val="left" w:pos="7371"/>
        </w:tabs>
        <w:spacing w:line="240" w:lineRule="auto"/>
        <w:rPr>
          <w:rFonts w:eastAsia="Microsoft Sans Serif"/>
          <w:lang w:bidi="ru-RU"/>
        </w:rPr>
      </w:pPr>
      <w:r w:rsidRPr="00C6706B">
        <w:rPr>
          <w:rFonts w:eastAsia="Microsoft Sans Serif"/>
          <w:lang w:bidi="ru-RU"/>
        </w:rPr>
        <w:t>Претензии потребителей направлять по адресу:</w:t>
      </w:r>
    </w:p>
    <w:p w14:paraId="5A71E190" w14:textId="77777777" w:rsidR="00DC44D5" w:rsidRPr="00C6706B" w:rsidRDefault="00DC44D5" w:rsidP="00DC44D5">
      <w:pPr>
        <w:autoSpaceDE w:val="0"/>
        <w:autoSpaceDN w:val="0"/>
        <w:jc w:val="both"/>
        <w:rPr>
          <w:rFonts w:eastAsia="Times New Roman" w:cs="Times New Roman"/>
          <w:sz w:val="24"/>
          <w:szCs w:val="24"/>
          <w:lang w:val="ru-RU" w:eastAsia="ru-RU"/>
        </w:rPr>
      </w:pPr>
      <w:r w:rsidRPr="00C6706B">
        <w:rPr>
          <w:rFonts w:eastAsia="Times New Roman" w:cs="Times New Roman"/>
          <w:sz w:val="24"/>
          <w:szCs w:val="24"/>
          <w:lang w:val="ru-RU" w:eastAsia="ru-RU"/>
        </w:rPr>
        <w:t>Республика Казахстан</w:t>
      </w:r>
    </w:p>
    <w:p w14:paraId="1DAE34D2" w14:textId="77777777" w:rsidR="005818B4" w:rsidRPr="005818B4" w:rsidRDefault="005818B4" w:rsidP="005818B4">
      <w:pPr>
        <w:autoSpaceDE w:val="0"/>
        <w:autoSpaceDN w:val="0"/>
        <w:jc w:val="both"/>
        <w:rPr>
          <w:rFonts w:cs="Times New Roman"/>
          <w:sz w:val="24"/>
          <w:szCs w:val="24"/>
          <w:lang w:val="ru-RU"/>
        </w:rPr>
      </w:pPr>
      <w:r w:rsidRPr="005818B4">
        <w:rPr>
          <w:rFonts w:cs="Times New Roman"/>
          <w:sz w:val="24"/>
          <w:szCs w:val="24"/>
          <w:lang w:val="ru-RU"/>
        </w:rPr>
        <w:t>Представительство Компании MISTRAL CAPITAL MANAGEMENT LIMITED (МИСТРАЛ КЭПИТЭЛ МЭНЕДЖМЕНТ ЛИМИТЕД)</w:t>
      </w:r>
    </w:p>
    <w:p w14:paraId="3F2D17B5" w14:textId="77777777" w:rsidR="005818B4" w:rsidRPr="005818B4" w:rsidRDefault="005818B4" w:rsidP="005818B4">
      <w:pPr>
        <w:autoSpaceDE w:val="0"/>
        <w:autoSpaceDN w:val="0"/>
        <w:jc w:val="both"/>
        <w:rPr>
          <w:rFonts w:cs="Times New Roman"/>
          <w:sz w:val="24"/>
          <w:szCs w:val="24"/>
          <w:lang w:val="ru-RU"/>
        </w:rPr>
      </w:pPr>
      <w:r w:rsidRPr="005818B4">
        <w:rPr>
          <w:rFonts w:cs="Times New Roman"/>
          <w:sz w:val="24"/>
          <w:szCs w:val="24"/>
          <w:lang w:val="ru-RU"/>
        </w:rPr>
        <w:t xml:space="preserve">050000, г. Алматы, Бостандыкский район, Бульвар БУХАР ЖЫРАУ, дом 26/1, н.п. 69 </w:t>
      </w:r>
    </w:p>
    <w:p w14:paraId="3FF3562B" w14:textId="77777777" w:rsidR="005818B4" w:rsidRPr="005818B4" w:rsidRDefault="005818B4" w:rsidP="005818B4">
      <w:pPr>
        <w:autoSpaceDE w:val="0"/>
        <w:autoSpaceDN w:val="0"/>
        <w:jc w:val="both"/>
        <w:rPr>
          <w:rFonts w:cs="Times New Roman"/>
          <w:sz w:val="24"/>
          <w:szCs w:val="24"/>
          <w:lang w:val="ru-RU"/>
        </w:rPr>
      </w:pPr>
      <w:r w:rsidRPr="005818B4">
        <w:rPr>
          <w:rFonts w:cs="Times New Roman"/>
          <w:sz w:val="24"/>
          <w:szCs w:val="24"/>
          <w:lang w:val="ru-RU"/>
        </w:rPr>
        <w:t>Номер телефона: +7 771 030 97 67</w:t>
      </w:r>
    </w:p>
    <w:p w14:paraId="315AAA0F" w14:textId="753D7A2C" w:rsidR="00A93F9E" w:rsidRPr="00383DBC" w:rsidRDefault="005818B4" w:rsidP="005818B4">
      <w:pPr>
        <w:autoSpaceDE w:val="0"/>
        <w:autoSpaceDN w:val="0"/>
        <w:jc w:val="both"/>
        <w:rPr>
          <w:rFonts w:cs="Times New Roman"/>
          <w:sz w:val="24"/>
          <w:szCs w:val="24"/>
          <w:lang w:val="ru-RU"/>
        </w:rPr>
      </w:pPr>
      <w:r w:rsidRPr="005818B4">
        <w:rPr>
          <w:rFonts w:cs="Times New Roman"/>
          <w:sz w:val="24"/>
          <w:szCs w:val="24"/>
          <w:lang w:val="ru-RU"/>
        </w:rPr>
        <w:t>Электронный адрес: info.mistral.kz@mistral.capital</w:t>
      </w:r>
    </w:p>
    <w:p w14:paraId="5284DFEC" w14:textId="77777777" w:rsidR="005818B4" w:rsidRDefault="005818B4" w:rsidP="002B0543">
      <w:pPr>
        <w:autoSpaceDE w:val="0"/>
        <w:autoSpaceDN w:val="0"/>
        <w:jc w:val="both"/>
        <w:rPr>
          <w:rFonts w:eastAsia="Times New Roman" w:cs="Times New Roman"/>
          <w:b/>
          <w:sz w:val="24"/>
          <w:szCs w:val="24"/>
          <w:lang w:val="ru-RU" w:eastAsia="ru-RU"/>
        </w:rPr>
      </w:pPr>
    </w:p>
    <w:p w14:paraId="7E3AD657" w14:textId="5A1C9D4F" w:rsidR="00A93F9E" w:rsidRPr="00383DBC" w:rsidRDefault="00A93F9E" w:rsidP="002B0543">
      <w:pPr>
        <w:autoSpaceDE w:val="0"/>
        <w:autoSpaceDN w:val="0"/>
        <w:jc w:val="both"/>
        <w:rPr>
          <w:rFonts w:eastAsia="Times New Roman" w:cs="Times New Roman"/>
          <w:b/>
          <w:sz w:val="24"/>
          <w:szCs w:val="24"/>
          <w:lang w:val="ru-RU" w:eastAsia="ru-RU"/>
        </w:rPr>
      </w:pPr>
      <w:r w:rsidRPr="00383DBC">
        <w:rPr>
          <w:rFonts w:eastAsia="Times New Roman" w:cs="Times New Roman"/>
          <w:b/>
          <w:sz w:val="24"/>
          <w:szCs w:val="24"/>
          <w:lang w:val="ru-RU" w:eastAsia="ru-RU"/>
        </w:rPr>
        <w:t>8. НОМЕР РЕГИСТРАЦИОННОГО УДОСТОВЕРЕНИЯ</w:t>
      </w:r>
    </w:p>
    <w:p w14:paraId="323DC017" w14:textId="0BC26517" w:rsidR="00A93F9E" w:rsidRPr="00383DBC" w:rsidRDefault="00655CEB" w:rsidP="002B0543">
      <w:pPr>
        <w:pStyle w:val="aff4"/>
        <w:jc w:val="both"/>
        <w:rPr>
          <w:rFonts w:ascii="Times New Roman" w:hAnsi="Times New Roman" w:cs="Times New Roman"/>
          <w:sz w:val="24"/>
          <w:szCs w:val="24"/>
          <w:lang w:val="ru-RU"/>
        </w:rPr>
      </w:pPr>
      <w:r>
        <w:rPr>
          <w:rFonts w:ascii="Times New Roman" w:hAnsi="Times New Roman" w:cs="Times New Roman"/>
          <w:sz w:val="24"/>
          <w:szCs w:val="24"/>
          <w:lang w:val="ru-RU"/>
        </w:rPr>
        <w:t>РК-ЛС-5№ХХХХХХ</w:t>
      </w:r>
    </w:p>
    <w:p w14:paraId="05FF0F32" w14:textId="76A994A8" w:rsidR="00A93F9E" w:rsidRPr="00383DBC" w:rsidRDefault="00A93F9E" w:rsidP="002B0543">
      <w:pPr>
        <w:pStyle w:val="aff4"/>
        <w:jc w:val="both"/>
        <w:rPr>
          <w:rFonts w:ascii="Times New Roman" w:hAnsi="Times New Roman" w:cs="Times New Roman"/>
          <w:sz w:val="24"/>
          <w:szCs w:val="24"/>
          <w:lang w:val="ru-RU"/>
        </w:rPr>
      </w:pPr>
    </w:p>
    <w:p w14:paraId="24F6A6AA" w14:textId="7361FD19" w:rsidR="00A93F9E" w:rsidRPr="00383DBC" w:rsidRDefault="00A93F9E" w:rsidP="002B0543">
      <w:pPr>
        <w:autoSpaceDE w:val="0"/>
        <w:autoSpaceDN w:val="0"/>
        <w:jc w:val="both"/>
        <w:rPr>
          <w:rFonts w:eastAsia="Times New Roman" w:cs="Times New Roman"/>
          <w:b/>
          <w:sz w:val="24"/>
          <w:szCs w:val="24"/>
          <w:lang w:val="ru-RU" w:eastAsia="ru-RU"/>
        </w:rPr>
      </w:pPr>
      <w:bookmarkStart w:id="57" w:name="_i4i7JAE6tk6k5Owt4nmk2ke1w"/>
      <w:bookmarkEnd w:id="57"/>
      <w:r w:rsidRPr="00383DBC">
        <w:rPr>
          <w:rFonts w:eastAsia="Times New Roman" w:cs="Times New Roman"/>
          <w:b/>
          <w:sz w:val="24"/>
          <w:szCs w:val="24"/>
          <w:lang w:val="ru-RU" w:eastAsia="ru-RU"/>
        </w:rPr>
        <w:t>9. ДАТА ПЕРВИЧНОЙ РЕГИСТРАЦИИ (ПОДТВЕРЖДЕНИЯ РЕГИСТРАЦИИ, ПЕРЕРЕГИСТРАЦИИ)</w:t>
      </w:r>
    </w:p>
    <w:p w14:paraId="256495C3" w14:textId="3BF97560" w:rsidR="00A93F9E" w:rsidRPr="00383DBC" w:rsidRDefault="00A93F9E" w:rsidP="002B0543">
      <w:pPr>
        <w:jc w:val="both"/>
        <w:rPr>
          <w:rFonts w:eastAsia="Times New Roman" w:cs="Times New Roman"/>
          <w:sz w:val="24"/>
          <w:szCs w:val="24"/>
          <w:lang w:val="ru-RU"/>
        </w:rPr>
      </w:pPr>
      <w:bookmarkStart w:id="58" w:name="_i4i2XGUc2EMaKZUX6AsEVdHC3"/>
      <w:bookmarkEnd w:id="58"/>
      <w:r w:rsidRPr="00383DBC">
        <w:rPr>
          <w:rFonts w:eastAsia="Times New Roman" w:cs="Times New Roman"/>
          <w:sz w:val="24"/>
          <w:szCs w:val="24"/>
          <w:lang w:val="ru-RU"/>
        </w:rPr>
        <w:t>Дата первой регистрации</w:t>
      </w:r>
      <w:r w:rsidRPr="00383DBC">
        <w:rPr>
          <w:rFonts w:cs="Times New Roman"/>
          <w:sz w:val="24"/>
          <w:szCs w:val="24"/>
          <w:lang w:val="ru-RU"/>
        </w:rPr>
        <w:t>:</w:t>
      </w:r>
      <w:bookmarkStart w:id="59" w:name="_i4i09TrtFh6Edh9Q8qTG3ZOWb"/>
      <w:bookmarkEnd w:id="59"/>
    </w:p>
    <w:p w14:paraId="0FE07617" w14:textId="77777777" w:rsidR="006A6EB7" w:rsidRPr="00383DBC" w:rsidRDefault="006A6EB7" w:rsidP="002B0543">
      <w:pPr>
        <w:autoSpaceDE w:val="0"/>
        <w:autoSpaceDN w:val="0"/>
        <w:jc w:val="both"/>
        <w:rPr>
          <w:rFonts w:cs="Times New Roman"/>
          <w:sz w:val="24"/>
          <w:szCs w:val="24"/>
          <w:lang w:val="ru-RU"/>
        </w:rPr>
      </w:pPr>
      <w:bookmarkStart w:id="60" w:name="_i4i56votZJ0uHntSsXq5jo7mu"/>
      <w:bookmarkEnd w:id="60"/>
    </w:p>
    <w:p w14:paraId="1ED210B1" w14:textId="4688F9B5" w:rsidR="00A93F9E" w:rsidRPr="00383DBC" w:rsidRDefault="00A93F9E" w:rsidP="002B0543">
      <w:pPr>
        <w:autoSpaceDE w:val="0"/>
        <w:autoSpaceDN w:val="0"/>
        <w:jc w:val="both"/>
        <w:rPr>
          <w:rFonts w:cs="Times New Roman"/>
          <w:b/>
          <w:sz w:val="24"/>
          <w:szCs w:val="24"/>
          <w:lang w:val="ru-RU"/>
        </w:rPr>
      </w:pPr>
      <w:r w:rsidRPr="00383DBC">
        <w:rPr>
          <w:rFonts w:cs="Times New Roman"/>
          <w:b/>
          <w:sz w:val="24"/>
          <w:szCs w:val="24"/>
          <w:lang w:val="ru-RU"/>
        </w:rPr>
        <w:t>10. ДАТА ПЕРЕСМОТРА ТЕКСТА</w:t>
      </w:r>
    </w:p>
    <w:p w14:paraId="03656B8E" w14:textId="311F01F6" w:rsidR="00A93F9E" w:rsidRPr="00383DBC" w:rsidRDefault="00A93F9E" w:rsidP="002B0543">
      <w:pPr>
        <w:jc w:val="both"/>
        <w:rPr>
          <w:rFonts w:eastAsia="Times New Roman" w:cs="Times New Roman"/>
          <w:sz w:val="24"/>
          <w:szCs w:val="24"/>
          <w:lang w:val="ru-RU"/>
        </w:rPr>
      </w:pPr>
      <w:bookmarkStart w:id="61" w:name="_i4i204uRCIGxY588adIY8FA0Y"/>
      <w:bookmarkEnd w:id="61"/>
      <w:r w:rsidRPr="00383DBC">
        <w:rPr>
          <w:rFonts w:eastAsia="TimesNewRomanPSMT" w:cs="Times New Roman"/>
          <w:sz w:val="24"/>
          <w:szCs w:val="24"/>
          <w:lang w:val="ru-RU" w:eastAsia="ru-RU"/>
        </w:rPr>
        <w:t xml:space="preserve">Общая характеристика лекарственного препарата доступна на официальном сайте </w:t>
      </w:r>
      <w:hyperlink r:id="rId25" w:history="1">
        <w:r w:rsidRPr="00383DBC">
          <w:rPr>
            <w:rFonts w:eastAsia="Times New Roman" w:cs="Times New Roman"/>
            <w:sz w:val="24"/>
            <w:szCs w:val="24"/>
            <w:u w:val="single"/>
            <w:lang w:val="ru-RU"/>
          </w:rPr>
          <w:t>http://www.ndda.kz</w:t>
        </w:r>
      </w:hyperlink>
      <w:bookmarkStart w:id="62" w:name="_i4i5nFysT47kIbYTC0DR6Lls3"/>
      <w:bookmarkStart w:id="63" w:name="_i4i0kw6eL9jhsHSiV4qFmcsph"/>
      <w:bookmarkStart w:id="64" w:name="_i4i1RnsK7Ow3kVIWCZ239QQQf"/>
      <w:bookmarkStart w:id="65" w:name="_i4i5JIqMiCavB7lZdOaCIG96U"/>
      <w:bookmarkEnd w:id="62"/>
      <w:bookmarkEnd w:id="63"/>
      <w:bookmarkEnd w:id="64"/>
      <w:bookmarkEnd w:id="65"/>
    </w:p>
    <w:sectPr w:rsidR="00A93F9E" w:rsidRPr="00383DBC" w:rsidSect="00FA78DA">
      <w:footerReference w:type="first" r:id="rId26"/>
      <w:endnotePr>
        <w:numFmt w:val="decimal"/>
      </w:endnotePr>
      <w:pgSz w:w="11907" w:h="16840" w:code="9"/>
      <w:pgMar w:top="1134" w:right="1134" w:bottom="1134" w:left="1701" w:header="709" w:footer="709" w:gutter="0"/>
      <w:cols w:space="720"/>
      <w:docGrid w:linePitch="299"/>
    </w:sectPr>
  </w:body>
</w:document>
</file>

<file path=word/customizations.xml><?xml version="1.0" encoding="utf-8"?>
<wne:tcg xmlns:r="http://schemas.openxmlformats.org/officeDocument/2006/relationships" xmlns:wne="http://schemas.microsoft.com/office/word/2006/wordml">
  <wne:keymaps>
    <wne:keymap wne:kcmPrimary="002E">
      <wne:macro wne:macroName="PROJECT.MODINIT.DELKEYBOUND"/>
    </wne:keymap>
  </wne:keymaps>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D71C9" w14:textId="77777777" w:rsidR="000C2706" w:rsidRDefault="000C2706">
      <w:r>
        <w:separator/>
      </w:r>
    </w:p>
  </w:endnote>
  <w:endnote w:type="continuationSeparator" w:id="0">
    <w:p w14:paraId="19B6E762" w14:textId="77777777" w:rsidR="000C2706" w:rsidRDefault="000C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yanmar Text">
    <w:panose1 w:val="020B0502040204020203"/>
    <w:charset w:val="00"/>
    <w:family w:val="swiss"/>
    <w:pitch w:val="variable"/>
    <w:sig w:usb0="80000003" w:usb1="00000000" w:usb2="000004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S MinNew Roman">
    <w:altName w:val="MS Mincho"/>
    <w:panose1 w:val="00000000000000000000"/>
    <w:charset w:val="80"/>
    <w:family w:val="roman"/>
    <w:notTrueType/>
    <w:pitch w:val="fixed"/>
    <w:sig w:usb0="00000001" w:usb1="08070000" w:usb2="00000010" w:usb3="00000000" w:csb0="00020000" w:csb1="00000000"/>
  </w:font>
  <w:font w:name="TimesNewRomanPSMT">
    <w:altName w:val="Times New Roman"/>
    <w:panose1 w:val="00000000000000000000"/>
    <w:charset w:val="80"/>
    <w:family w:val="auto"/>
    <w:notTrueType/>
    <w:pitch w:val="default"/>
    <w:sig w:usb0="00000201" w:usb1="08070000" w:usb2="00000010" w:usb3="00000000" w:csb0="00020005"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A6DE2" w14:textId="77777777" w:rsidR="00FE7873" w:rsidRDefault="00FE7873">
    <w:pPr>
      <w:pStyle w:val="af4"/>
      <w:tabs>
        <w:tab w:val="right" w:pos="8931"/>
      </w:tabs>
      <w:ind w:right="96"/>
      <w:jc w:val="center"/>
    </w:pPr>
    <w:r>
      <w:fldChar w:fldCharType="begin"/>
    </w:r>
    <w:r>
      <w:instrText xml:space="preserve"> EQ </w:instrText>
    </w:r>
    <w:r>
      <w:fldChar w:fldCharType="end"/>
    </w:r>
    <w:r>
      <w:rPr>
        <w:rStyle w:val="affd"/>
        <w:rFonts w:cs="Arial"/>
      </w:rPr>
      <w:fldChar w:fldCharType="begin"/>
    </w:r>
    <w:r>
      <w:rPr>
        <w:rStyle w:val="affd"/>
        <w:rFonts w:cs="Arial"/>
      </w:rPr>
      <w:instrText xml:space="preserve">PAGE  </w:instrText>
    </w:r>
    <w:r>
      <w:rPr>
        <w:rStyle w:val="affd"/>
        <w:rFonts w:cs="Arial"/>
      </w:rPr>
      <w:fldChar w:fldCharType="separate"/>
    </w:r>
    <w:r>
      <w:rPr>
        <w:rStyle w:val="affd"/>
        <w:rFonts w:cs="Arial"/>
        <w:noProof/>
      </w:rPr>
      <w:t>1</w:t>
    </w:r>
    <w:r>
      <w:rPr>
        <w:rStyle w:val="affd"/>
        <w:rFonts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0ED87" w14:textId="77777777" w:rsidR="000C2706" w:rsidRDefault="000C2706">
      <w:r>
        <w:separator/>
      </w:r>
    </w:p>
  </w:footnote>
  <w:footnote w:type="continuationSeparator" w:id="0">
    <w:p w14:paraId="19C35CB1" w14:textId="77777777" w:rsidR="000C2706" w:rsidRDefault="000C27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7D6E42C2"/>
    <w:lvl w:ilvl="0">
      <w:start w:val="1"/>
      <w:numFmt w:val="decimal"/>
      <w:lvlText w:val="%1."/>
      <w:lvlJc w:val="left"/>
      <w:pPr>
        <w:tabs>
          <w:tab w:val="num" w:pos="1209"/>
        </w:tabs>
        <w:ind w:left="1209" w:hanging="360"/>
      </w:pPr>
    </w:lvl>
  </w:abstractNum>
  <w:abstractNum w:abstractNumId="1">
    <w:nsid w:val="FFFFFF89"/>
    <w:multiLevelType w:val="singleLevel"/>
    <w:tmpl w:val="20FE1F9E"/>
    <w:lvl w:ilvl="0">
      <w:start w:val="1"/>
      <w:numFmt w:val="bullet"/>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lvlText w:val="*"/>
      <w:lvlJc w:val="left"/>
      <w:pPr>
        <w:ind w:left="0" w:firstLine="0"/>
      </w:pPr>
    </w:lvl>
  </w:abstractNum>
  <w:abstractNum w:abstractNumId="3">
    <w:nsid w:val="07EA4AA8"/>
    <w:multiLevelType w:val="hybridMultilevel"/>
    <w:tmpl w:val="8DEE790E"/>
    <w:lvl w:ilvl="0" w:tplc="F9FCF754">
      <w:start w:val="1"/>
      <w:numFmt w:val="decimal"/>
      <w:pStyle w:val="TableNumber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44CC1"/>
    <w:multiLevelType w:val="hybridMultilevel"/>
    <w:tmpl w:val="7FF2C5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nsid w:val="0A1D2695"/>
    <w:multiLevelType w:val="hybridMultilevel"/>
    <w:tmpl w:val="ACCCC484"/>
    <w:lvl w:ilvl="0" w:tplc="5D747EB2">
      <w:start w:val="1"/>
      <w:numFmt w:val="upperLetter"/>
      <w:pStyle w:val="TableNumber2"/>
      <w:lvlText w:val="%1."/>
      <w:lvlJc w:val="left"/>
      <w:pPr>
        <w:ind w:left="994" w:hanging="360"/>
      </w:p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nsid w:val="10B81C2C"/>
    <w:multiLevelType w:val="hybridMultilevel"/>
    <w:tmpl w:val="A810FDE6"/>
    <w:lvl w:ilvl="0" w:tplc="249A7394">
      <w:start w:val="1"/>
      <w:numFmt w:val="bullet"/>
      <w:pStyle w:val="Bullet3"/>
      <w:lvlText w:val=""/>
      <w:lvlJc w:val="left"/>
      <w:pPr>
        <w:ind w:left="1800" w:hanging="360"/>
      </w:pPr>
      <w:rPr>
        <w:rFonts w:ascii="Symbol" w:hAnsi="Symbol" w:hint="default"/>
        <w:color w:val="95B3D7"/>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16EB782A"/>
    <w:multiLevelType w:val="multilevel"/>
    <w:tmpl w:val="4DC6F82A"/>
    <w:lvl w:ilvl="0">
      <w:start w:val="1"/>
      <w:numFmt w:val="bullet"/>
      <w:lvlText w:val=""/>
      <w:lvlJc w:val="left"/>
      <w:pPr>
        <w:ind w:left="360" w:hanging="360"/>
      </w:pPr>
      <w:rPr>
        <w:rFonts w:ascii="Symbol" w:hAnsi="Symbol" w:hint="default"/>
        <w:color w:val="auto"/>
      </w:rPr>
    </w:lvl>
    <w:lvl w:ilvl="1">
      <w:start w:val="1"/>
      <w:numFmt w:val="bullet"/>
      <w:lvlText w:val="∘"/>
      <w:lvlJc w:val="left"/>
      <w:pPr>
        <w:ind w:left="720" w:hanging="360"/>
      </w:pPr>
      <w:rPr>
        <w:rFonts w:ascii="Lucida Sans Unicode" w:hAnsi="Lucida Sans Unicode" w:hint="default"/>
        <w:color w:val="auto"/>
      </w:rPr>
    </w:lvl>
    <w:lvl w:ilvl="2">
      <w:start w:val="1"/>
      <w:numFmt w:val="bullet"/>
      <w:lvlText w:val="▪"/>
      <w:lvlJc w:val="left"/>
      <w:pPr>
        <w:ind w:left="1080" w:hanging="360"/>
      </w:pPr>
      <w:rPr>
        <w:rFonts w:ascii="Lucida Sans Unicode" w:hAnsi="Lucida Sans Unicode" w:hint="default"/>
        <w:color w:val="auto"/>
      </w:rPr>
    </w:lvl>
    <w:lvl w:ilvl="3">
      <w:start w:val="1"/>
      <w:numFmt w:val="bullet"/>
      <w:pStyle w:val="4"/>
      <w:lvlText w:val="-"/>
      <w:lvlJc w:val="left"/>
      <w:pPr>
        <w:ind w:left="1440" w:hanging="360"/>
      </w:pPr>
      <w:rPr>
        <w:rFonts w:ascii="Lucida Sans Unicode" w:hAnsi="Lucida Sans Unicode" w:hint="default"/>
        <w:color w:val="auto"/>
      </w:rPr>
    </w:lvl>
    <w:lvl w:ilvl="4">
      <w:start w:val="1"/>
      <w:numFmt w:val="bullet"/>
      <w:pStyle w:val="5"/>
      <w:lvlText w:val="⋆"/>
      <w:lvlJc w:val="left"/>
      <w:pPr>
        <w:ind w:left="1800" w:hanging="360"/>
      </w:pPr>
      <w:rPr>
        <w:rFonts w:ascii="Lucida Sans Unicode" w:hAnsi="Lucida Sans Unicode"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176C4040"/>
    <w:multiLevelType w:val="hybridMultilevel"/>
    <w:tmpl w:val="0944DF9C"/>
    <w:lvl w:ilvl="0" w:tplc="FFFFFFFF">
      <w:start w:val="1"/>
      <w:numFmt w:val="bullet"/>
      <w:pStyle w:val="TableBulletGuidance"/>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7FA75A5"/>
    <w:multiLevelType w:val="hybridMultilevel"/>
    <w:tmpl w:val="5D4492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9841A90"/>
    <w:multiLevelType w:val="hybridMultilevel"/>
    <w:tmpl w:val="84F406E0"/>
    <w:lvl w:ilvl="0" w:tplc="42CE2EEA">
      <w:start w:val="1"/>
      <w:numFmt w:val="upperRoman"/>
      <w:pStyle w:val="TableNumber3"/>
      <w:lvlText w:val="%1."/>
      <w:lvlJc w:val="righ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nsid w:val="1BEA1580"/>
    <w:multiLevelType w:val="hybridMultilevel"/>
    <w:tmpl w:val="0CDC9168"/>
    <w:lvl w:ilvl="0" w:tplc="2FC28A18">
      <w:start w:val="1"/>
      <w:numFmt w:val="bullet"/>
      <w:pStyle w:val="TableBullet3"/>
      <w:lvlText w:val=""/>
      <w:lvlJc w:val="left"/>
      <w:pPr>
        <w:ind w:left="1267" w:hanging="360"/>
      </w:pPr>
      <w:rPr>
        <w:rFonts w:ascii="Symbol" w:hAnsi="Symbol" w:hint="default"/>
        <w:color w:val="95B3D7"/>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nsid w:val="22D61F33"/>
    <w:multiLevelType w:val="multilevel"/>
    <w:tmpl w:val="9FB20AF6"/>
    <w:lvl w:ilvl="0">
      <w:start w:val="1"/>
      <w:numFmt w:val="decimal"/>
      <w:lvlText w:val="%1."/>
      <w:lvlJc w:val="left"/>
      <w:pPr>
        <w:ind w:left="450" w:hanging="360"/>
      </w:pPr>
      <w:rPr>
        <w:b w:val="0"/>
        <w:bCs w:val="0"/>
        <w:i w:val="0"/>
        <w:iCs w:val="0"/>
        <w:caps w:val="0"/>
        <w:smallCaps w:val="0"/>
        <w:strike w:val="0"/>
        <w:dstrike w:val="0"/>
        <w:noProof w:val="0"/>
        <w:vanish w:val="0"/>
        <w:color w:val="000000"/>
        <w:kern w:val="0"/>
        <w:position w:val="0"/>
        <w:u w:val="none"/>
        <w:effect w:val="none"/>
        <w:vertAlign w:val="baseline"/>
        <w:em w:val="none"/>
        <w:specVanish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9C10E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E7448EC"/>
    <w:multiLevelType w:val="hybridMultilevel"/>
    <w:tmpl w:val="2982C854"/>
    <w:lvl w:ilvl="0" w:tplc="D5D6F03E">
      <w:start w:val="1"/>
      <w:numFmt w:val="decimal"/>
      <w:pStyle w:val="TableNote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7155C8"/>
    <w:multiLevelType w:val="multilevel"/>
    <w:tmpl w:val="E610AFB6"/>
    <w:styleLink w:val="Style2"/>
    <w:lvl w:ilvl="0">
      <w:start w:val="3"/>
      <w:numFmt w:val="decimal"/>
      <w:lvlText w:val="%1."/>
      <w:lvlJc w:val="left"/>
      <w:pPr>
        <w:ind w:left="357" w:hanging="35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nsid w:val="371A1766"/>
    <w:multiLevelType w:val="hybridMultilevel"/>
    <w:tmpl w:val="4C26B28C"/>
    <w:lvl w:ilvl="0" w:tplc="FFFFFFFF">
      <w:start w:val="1"/>
      <w:numFmt w:val="bullet"/>
      <w:lvlText w:val=""/>
      <w:lvlJc w:val="left"/>
      <w:pPr>
        <w:ind w:left="3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7">
    <w:nsid w:val="394F398C"/>
    <w:multiLevelType w:val="hybridMultilevel"/>
    <w:tmpl w:val="F8FA1C98"/>
    <w:lvl w:ilvl="0" w:tplc="B7BE8D2C">
      <w:start w:val="1"/>
      <w:numFmt w:val="bullet"/>
      <w:lvlText w:val=""/>
      <w:lvlJc w:val="left"/>
      <w:pPr>
        <w:ind w:left="1080" w:hanging="360"/>
      </w:pPr>
      <w:rPr>
        <w:rFonts w:ascii="Symbol" w:hAnsi="Symbol" w:hint="default"/>
        <w:color w:val="7397BC"/>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9C9043E"/>
    <w:multiLevelType w:val="hybridMultilevel"/>
    <w:tmpl w:val="6B40E902"/>
    <w:lvl w:ilvl="0" w:tplc="FCFABA66">
      <w:start w:val="1"/>
      <w:numFmt w:val="bullet"/>
      <w:pStyle w:val="TableBullet2"/>
      <w:lvlText w:val=""/>
      <w:lvlJc w:val="left"/>
      <w:pPr>
        <w:ind w:left="994" w:hanging="360"/>
      </w:pPr>
      <w:rPr>
        <w:rFonts w:ascii="Symbol" w:hAnsi="Symbol" w:hint="default"/>
        <w:color w:val="95B3D7"/>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9">
    <w:nsid w:val="3E255F75"/>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3236043"/>
    <w:multiLevelType w:val="hybridMultilevel"/>
    <w:tmpl w:val="2982C854"/>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nsid w:val="46434277"/>
    <w:multiLevelType w:val="multilevel"/>
    <w:tmpl w:val="5E929B0C"/>
    <w:styleLink w:val="Style1"/>
    <w:lvl w:ilvl="0">
      <w:start w:val="1"/>
      <w:numFmt w:val="decimal"/>
      <w:lvlText w:val="%1."/>
      <w:lvlJc w:val="left"/>
      <w:pPr>
        <w:ind w:left="360" w:hanging="360"/>
      </w:pPr>
      <w:rPr>
        <w:rFonts w:hint="default"/>
      </w:rPr>
    </w:lvl>
    <w:lvl w:ilvl="1">
      <w:start w:val="1"/>
      <w:numFmt w:val="decimal"/>
      <w:lvlText w:val="%1.%2."/>
      <w:lvlJc w:val="left"/>
      <w:pPr>
        <w:ind w:left="32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8373AC3"/>
    <w:multiLevelType w:val="multilevel"/>
    <w:tmpl w:val="5986E9BC"/>
    <w:lvl w:ilvl="0">
      <w:start w:val="1"/>
      <w:numFmt w:val="decimal"/>
      <w:pStyle w:val="a"/>
      <w:lvlText w:val="%1."/>
      <w:lvlJc w:val="left"/>
      <w:pPr>
        <w:ind w:left="360" w:hanging="360"/>
      </w:pPr>
      <w:rPr>
        <w:rFonts w:hint="default"/>
      </w:rPr>
    </w:lvl>
    <w:lvl w:ilvl="1">
      <w:start w:val="1"/>
      <w:numFmt w:val="upperLetter"/>
      <w:pStyle w:val="2"/>
      <w:lvlText w:val="%2."/>
      <w:lvlJc w:val="left"/>
      <w:pPr>
        <w:ind w:left="720" w:hanging="360"/>
      </w:pPr>
      <w:rPr>
        <w:rFonts w:hint="default"/>
      </w:rPr>
    </w:lvl>
    <w:lvl w:ilvl="2">
      <w:start w:val="1"/>
      <w:numFmt w:val="upperRoman"/>
      <w:pStyle w:val="3"/>
      <w:lvlText w:val="%3."/>
      <w:lvlJc w:val="left"/>
      <w:pPr>
        <w:ind w:left="1080" w:hanging="360"/>
      </w:pPr>
      <w:rPr>
        <w:rFonts w:hint="default"/>
      </w:rPr>
    </w:lvl>
    <w:lvl w:ilvl="3">
      <w:start w:val="1"/>
      <w:numFmt w:val="lowerLetter"/>
      <w:pStyle w:val="40"/>
      <w:lvlText w:val="%4."/>
      <w:lvlJc w:val="left"/>
      <w:pPr>
        <w:ind w:left="1440" w:hanging="360"/>
      </w:pPr>
      <w:rPr>
        <w:rFonts w:hint="default"/>
      </w:rPr>
    </w:lvl>
    <w:lvl w:ilvl="4">
      <w:start w:val="1"/>
      <w:numFmt w:val="lowerRoman"/>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BA70FDB"/>
    <w:multiLevelType w:val="multilevel"/>
    <w:tmpl w:val="4B101D20"/>
    <w:lvl w:ilvl="0">
      <w:start w:val="1"/>
      <w:numFmt w:val="decimal"/>
      <w:pStyle w:val="TableBullet1"/>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EE31937"/>
    <w:multiLevelType w:val="hybridMultilevel"/>
    <w:tmpl w:val="6EEAA0F0"/>
    <w:lvl w:ilvl="0" w:tplc="B322A1A2">
      <w:start w:val="1"/>
      <w:numFmt w:val="bullet"/>
      <w:pStyle w:val="20"/>
      <w:lvlText w:val=""/>
      <w:lvlJc w:val="left"/>
      <w:pPr>
        <w:ind w:left="1440" w:hanging="360"/>
      </w:pPr>
      <w:rPr>
        <w:rFonts w:ascii="Symbol" w:hAnsi="Symbol" w:hint="default"/>
        <w:color w:val="95B3D7"/>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F9D0640"/>
    <w:multiLevelType w:val="multilevel"/>
    <w:tmpl w:val="C276BD7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56F70EC0"/>
    <w:multiLevelType w:val="multilevel"/>
    <w:tmpl w:val="973EBEF0"/>
    <w:lvl w:ilvl="0">
      <w:start w:val="1"/>
      <w:numFmt w:val="bullet"/>
      <w:pStyle w:val="Bullet1"/>
      <w:lvlText w:val=""/>
      <w:lvlJc w:val="left"/>
      <w:pPr>
        <w:ind w:left="720" w:hanging="360"/>
      </w:pPr>
      <w:rPr>
        <w:rFonts w:ascii="Symbol" w:hAnsi="Symbol" w:hint="default"/>
        <w:color w:val="95B3D7"/>
      </w:rPr>
    </w:lvl>
    <w:lvl w:ilvl="1">
      <w:start w:val="1"/>
      <w:numFmt w:val="bullet"/>
      <w:pStyle w:val="Bullet2"/>
      <w:lvlText w:val="—"/>
      <w:lvlJc w:val="left"/>
      <w:pPr>
        <w:ind w:left="1080" w:hanging="360"/>
      </w:pPr>
      <w:rPr>
        <w:rFonts w:ascii="Calibri" w:hAnsi="Calibri" w:hint="default"/>
        <w:color w:val="95B3D7" w:themeColor="accent1" w:themeTint="99"/>
      </w:rPr>
    </w:lvl>
    <w:lvl w:ilvl="2">
      <w:start w:val="1"/>
      <w:numFmt w:val="bullet"/>
      <w:lvlText w:val=""/>
      <w:lvlJc w:val="left"/>
      <w:pPr>
        <w:ind w:left="1440" w:hanging="360"/>
      </w:pPr>
      <w:rPr>
        <w:rFonts w:ascii="Symbol" w:hAnsi="Symbol" w:hint="default"/>
        <w:color w:val="95B3D7" w:themeColor="accent1" w:themeTint="99"/>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09A331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15244BC"/>
    <w:multiLevelType w:val="hybridMultilevel"/>
    <w:tmpl w:val="8CD2D484"/>
    <w:lvl w:ilvl="0" w:tplc="231E82D0">
      <w:start w:val="1"/>
      <w:numFmt w:val="bullet"/>
      <w:pStyle w:val="a0"/>
      <w:lvlText w:val=""/>
      <w:lvlJc w:val="left"/>
      <w:pPr>
        <w:tabs>
          <w:tab w:val="num" w:pos="567"/>
        </w:tabs>
        <w:ind w:left="567" w:hanging="56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1E84F52"/>
    <w:multiLevelType w:val="hybridMultilevel"/>
    <w:tmpl w:val="81BCA6F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52339F2"/>
    <w:multiLevelType w:val="hybridMultilevel"/>
    <w:tmpl w:val="11264E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EFB6189"/>
    <w:multiLevelType w:val="hybridMultilevel"/>
    <w:tmpl w:val="2982C854"/>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2">
    <w:nsid w:val="6F9337D0"/>
    <w:multiLevelType w:val="hybridMultilevel"/>
    <w:tmpl w:val="B6C885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5B97A5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5"/>
  </w:num>
  <w:num w:numId="2">
    <w:abstractNumId w:val="7"/>
  </w:num>
  <w:num w:numId="3">
    <w:abstractNumId w:val="22"/>
  </w:num>
  <w:num w:numId="4">
    <w:abstractNumId w:val="26"/>
  </w:num>
  <w:num w:numId="5">
    <w:abstractNumId w:val="23"/>
    <w:lvlOverride w:ilvl="0">
      <w:lvl w:ilvl="0">
        <w:start w:val="1"/>
        <w:numFmt w:val="bullet"/>
        <w:pStyle w:val="TableBullet1"/>
        <w:lvlText w:val=""/>
        <w:lvlJc w:val="left"/>
        <w:pPr>
          <w:ind w:left="360" w:hanging="360"/>
        </w:pPr>
        <w:rPr>
          <w:rFonts w:ascii="Symbol" w:hAnsi="Symbol" w:hint="default"/>
          <w:color w:val="95B3D7"/>
        </w:rPr>
      </w:lvl>
    </w:lvlOverride>
    <w:lvlOverride w:ilvl="1">
      <w:lvl w:ilvl="1">
        <w:start w:val="1"/>
        <w:numFmt w:val="bullet"/>
        <w:lvlText w:val="o"/>
        <w:lvlJc w:val="left"/>
        <w:pPr>
          <w:ind w:left="1080" w:hanging="360"/>
        </w:pPr>
        <w:rPr>
          <w:rFonts w:ascii="Courier New" w:hAnsi="Courier New" w:cs="Courier New" w:hint="default"/>
        </w:rPr>
      </w:lvl>
    </w:lvlOverride>
    <w:lvlOverride w:ilvl="2">
      <w:lvl w:ilvl="2" w:tentative="1">
        <w:start w:val="1"/>
        <w:numFmt w:val="bullet"/>
        <w:lvlText w:val=""/>
        <w:lvlJc w:val="left"/>
        <w:pPr>
          <w:ind w:left="1800" w:hanging="360"/>
        </w:pPr>
        <w:rPr>
          <w:rFonts w:ascii="Wingdings" w:hAnsi="Wingdings" w:hint="default"/>
        </w:rPr>
      </w:lvl>
    </w:lvlOverride>
    <w:lvlOverride w:ilvl="3">
      <w:lvl w:ilvl="3" w:tentative="1">
        <w:start w:val="1"/>
        <w:numFmt w:val="bullet"/>
        <w:lvlText w:val=""/>
        <w:lvlJc w:val="left"/>
        <w:pPr>
          <w:ind w:left="2520" w:hanging="360"/>
        </w:pPr>
        <w:rPr>
          <w:rFonts w:ascii="Symbol" w:hAnsi="Symbol" w:hint="default"/>
        </w:rPr>
      </w:lvl>
    </w:lvlOverride>
    <w:lvlOverride w:ilvl="4">
      <w:lvl w:ilvl="4" w:tentative="1">
        <w:start w:val="1"/>
        <w:numFmt w:val="bullet"/>
        <w:lvlText w:val="o"/>
        <w:lvlJc w:val="left"/>
        <w:pPr>
          <w:ind w:left="3240" w:hanging="360"/>
        </w:pPr>
        <w:rPr>
          <w:rFonts w:ascii="Courier New" w:hAnsi="Courier New" w:cs="Courier New" w:hint="default"/>
        </w:rPr>
      </w:lvl>
    </w:lvlOverride>
    <w:lvlOverride w:ilvl="5">
      <w:lvl w:ilvl="5" w:tentative="1">
        <w:start w:val="1"/>
        <w:numFmt w:val="bullet"/>
        <w:lvlText w:val=""/>
        <w:lvlJc w:val="left"/>
        <w:pPr>
          <w:ind w:left="3960" w:hanging="360"/>
        </w:pPr>
        <w:rPr>
          <w:rFonts w:ascii="Wingdings" w:hAnsi="Wingdings" w:hint="default"/>
        </w:rPr>
      </w:lvl>
    </w:lvlOverride>
    <w:lvlOverride w:ilvl="6">
      <w:lvl w:ilvl="6" w:tentative="1">
        <w:start w:val="1"/>
        <w:numFmt w:val="bullet"/>
        <w:lvlText w:val=""/>
        <w:lvlJc w:val="left"/>
        <w:pPr>
          <w:ind w:left="4680" w:hanging="360"/>
        </w:pPr>
        <w:rPr>
          <w:rFonts w:ascii="Symbol" w:hAnsi="Symbol" w:hint="default"/>
        </w:rPr>
      </w:lvl>
    </w:lvlOverride>
    <w:lvlOverride w:ilvl="7">
      <w:lvl w:ilvl="7" w:tentative="1">
        <w:start w:val="1"/>
        <w:numFmt w:val="bullet"/>
        <w:lvlText w:val="o"/>
        <w:lvlJc w:val="left"/>
        <w:pPr>
          <w:ind w:left="5400" w:hanging="360"/>
        </w:pPr>
        <w:rPr>
          <w:rFonts w:ascii="Courier New" w:hAnsi="Courier New" w:cs="Courier New" w:hint="default"/>
        </w:rPr>
      </w:lvl>
    </w:lvlOverride>
    <w:lvlOverride w:ilvl="8">
      <w:lvl w:ilvl="8" w:tentative="1">
        <w:start w:val="1"/>
        <w:numFmt w:val="bullet"/>
        <w:lvlText w:val=""/>
        <w:lvlJc w:val="left"/>
        <w:pPr>
          <w:ind w:left="6120" w:hanging="360"/>
        </w:pPr>
        <w:rPr>
          <w:rFonts w:ascii="Wingdings" w:hAnsi="Wingdings" w:hint="default"/>
        </w:rPr>
      </w:lvl>
    </w:lvlOverride>
  </w:num>
  <w:num w:numId="6">
    <w:abstractNumId w:val="3"/>
  </w:num>
  <w:num w:numId="7">
    <w:abstractNumId w:val="5"/>
  </w:num>
  <w:num w:numId="8">
    <w:abstractNumId w:val="10"/>
  </w:num>
  <w:num w:numId="9">
    <w:abstractNumId w:val="12"/>
  </w:num>
  <w:num w:numId="10">
    <w:abstractNumId w:val="6"/>
  </w:num>
  <w:num w:numId="11">
    <w:abstractNumId w:val="18"/>
  </w:num>
  <w:num w:numId="12">
    <w:abstractNumId w:val="11"/>
  </w:num>
  <w:num w:numId="13">
    <w:abstractNumId w:val="24"/>
  </w:num>
  <w:num w:numId="14">
    <w:abstractNumId w:val="17"/>
  </w:num>
  <w:num w:numId="15">
    <w:abstractNumId w:val="32"/>
  </w:num>
  <w:num w:numId="16">
    <w:abstractNumId w:val="32"/>
  </w:num>
  <w:num w:numId="17">
    <w:abstractNumId w:val="4"/>
  </w:num>
  <w:num w:numId="18">
    <w:abstractNumId w:val="2"/>
    <w:lvlOverride w:ilvl="0">
      <w:lvl w:ilvl="0">
        <w:numFmt w:val="bullet"/>
        <w:lvlText w:val="-"/>
        <w:legacy w:legacy="1" w:legacySpace="0" w:legacyIndent="360"/>
        <w:lvlJc w:val="left"/>
        <w:pPr>
          <w:ind w:left="360" w:hanging="360"/>
        </w:pPr>
      </w:lvl>
    </w:lvlOverride>
  </w:num>
  <w:num w:numId="19">
    <w:abstractNumId w:val="2"/>
    <w:lvlOverride w:ilvl="0">
      <w:lvl w:ilvl="0">
        <w:start w:val="1"/>
        <w:numFmt w:val="bullet"/>
        <w:lvlText w:val="-"/>
        <w:legacy w:legacy="1" w:legacySpace="0" w:legacyIndent="360"/>
        <w:lvlJc w:val="left"/>
        <w:pPr>
          <w:ind w:left="360" w:hanging="360"/>
        </w:pPr>
      </w:lvl>
    </w:lvlOverride>
  </w:num>
  <w:num w:numId="20">
    <w:abstractNumId w:val="1"/>
  </w:num>
  <w:num w:numId="21">
    <w:abstractNumId w:val="0"/>
  </w:num>
  <w:num w:numId="22">
    <w:abstractNumId w:val="13"/>
  </w:num>
  <w:num w:numId="23">
    <w:abstractNumId w:val="19"/>
  </w:num>
  <w:num w:numId="24">
    <w:abstractNumId w:val="33"/>
  </w:num>
  <w:num w:numId="25">
    <w:abstractNumId w:val="27"/>
  </w:num>
  <w:num w:numId="2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5"/>
  </w:num>
  <w:num w:numId="29">
    <w:abstractNumId w:val="14"/>
    <w:lvlOverride w:ilvl="0">
      <w:startOverride w:val="1"/>
    </w:lvlOverride>
  </w:num>
  <w:num w:numId="30">
    <w:abstractNumId w:val="14"/>
    <w:lvlOverride w:ilvl="0">
      <w:startOverride w:val="1"/>
    </w:lvlOverride>
  </w:num>
  <w:num w:numId="31">
    <w:abstractNumId w:val="8"/>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0"/>
  </w:num>
  <w:num w:numId="35">
    <w:abstractNumId w:val="9"/>
  </w:num>
  <w:num w:numId="36">
    <w:abstractNumId w:val="30"/>
  </w:num>
  <w:num w:numId="37">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C9B"/>
    <w:rsid w:val="00000063"/>
    <w:rsid w:val="000001D8"/>
    <w:rsid w:val="00000279"/>
    <w:rsid w:val="00000391"/>
    <w:rsid w:val="00000B6C"/>
    <w:rsid w:val="00001149"/>
    <w:rsid w:val="00001C5D"/>
    <w:rsid w:val="00001D8D"/>
    <w:rsid w:val="00001DF4"/>
    <w:rsid w:val="00002218"/>
    <w:rsid w:val="00002459"/>
    <w:rsid w:val="00002569"/>
    <w:rsid w:val="0000268E"/>
    <w:rsid w:val="000026E1"/>
    <w:rsid w:val="00002BE6"/>
    <w:rsid w:val="00002D23"/>
    <w:rsid w:val="00002DEE"/>
    <w:rsid w:val="0000318A"/>
    <w:rsid w:val="0000334F"/>
    <w:rsid w:val="00003889"/>
    <w:rsid w:val="00003C0A"/>
    <w:rsid w:val="000040DA"/>
    <w:rsid w:val="000046FA"/>
    <w:rsid w:val="000048B4"/>
    <w:rsid w:val="000051D9"/>
    <w:rsid w:val="00005563"/>
    <w:rsid w:val="000058DB"/>
    <w:rsid w:val="00005D05"/>
    <w:rsid w:val="00006ADA"/>
    <w:rsid w:val="00007056"/>
    <w:rsid w:val="000070EB"/>
    <w:rsid w:val="00007A14"/>
    <w:rsid w:val="0001011A"/>
    <w:rsid w:val="00010499"/>
    <w:rsid w:val="00010633"/>
    <w:rsid w:val="00010881"/>
    <w:rsid w:val="00010FD5"/>
    <w:rsid w:val="00011039"/>
    <w:rsid w:val="000113FB"/>
    <w:rsid w:val="00011457"/>
    <w:rsid w:val="0001196C"/>
    <w:rsid w:val="00011FE2"/>
    <w:rsid w:val="0001203C"/>
    <w:rsid w:val="00012998"/>
    <w:rsid w:val="00012C05"/>
    <w:rsid w:val="000132E9"/>
    <w:rsid w:val="0001373F"/>
    <w:rsid w:val="00014174"/>
    <w:rsid w:val="000146C1"/>
    <w:rsid w:val="00014ADA"/>
    <w:rsid w:val="000154F8"/>
    <w:rsid w:val="00015FB8"/>
    <w:rsid w:val="000161C8"/>
    <w:rsid w:val="000161CF"/>
    <w:rsid w:val="00016953"/>
    <w:rsid w:val="00016ADB"/>
    <w:rsid w:val="00016C3E"/>
    <w:rsid w:val="00016E7B"/>
    <w:rsid w:val="00017592"/>
    <w:rsid w:val="00017773"/>
    <w:rsid w:val="00017A67"/>
    <w:rsid w:val="00017C40"/>
    <w:rsid w:val="00017D36"/>
    <w:rsid w:val="00017FDE"/>
    <w:rsid w:val="0002007A"/>
    <w:rsid w:val="00020756"/>
    <w:rsid w:val="00020CAF"/>
    <w:rsid w:val="0002109E"/>
    <w:rsid w:val="0002133A"/>
    <w:rsid w:val="000213BE"/>
    <w:rsid w:val="00021509"/>
    <w:rsid w:val="0002186B"/>
    <w:rsid w:val="00021AEB"/>
    <w:rsid w:val="00021ED3"/>
    <w:rsid w:val="0002213F"/>
    <w:rsid w:val="00022F57"/>
    <w:rsid w:val="0002393B"/>
    <w:rsid w:val="00023C67"/>
    <w:rsid w:val="00023E2E"/>
    <w:rsid w:val="0002436C"/>
    <w:rsid w:val="00024B45"/>
    <w:rsid w:val="00024D22"/>
    <w:rsid w:val="00024E98"/>
    <w:rsid w:val="00024F69"/>
    <w:rsid w:val="000258C8"/>
    <w:rsid w:val="000258EE"/>
    <w:rsid w:val="00025CCB"/>
    <w:rsid w:val="00025EBB"/>
    <w:rsid w:val="00025F5A"/>
    <w:rsid w:val="0002651F"/>
    <w:rsid w:val="00026EBD"/>
    <w:rsid w:val="0002758E"/>
    <w:rsid w:val="00027A6B"/>
    <w:rsid w:val="00027E7A"/>
    <w:rsid w:val="00027F7A"/>
    <w:rsid w:val="00030B81"/>
    <w:rsid w:val="00030C06"/>
    <w:rsid w:val="00032695"/>
    <w:rsid w:val="00032C06"/>
    <w:rsid w:val="00032F51"/>
    <w:rsid w:val="00034074"/>
    <w:rsid w:val="00034166"/>
    <w:rsid w:val="0003512E"/>
    <w:rsid w:val="00035E3F"/>
    <w:rsid w:val="00037D7B"/>
    <w:rsid w:val="0004068F"/>
    <w:rsid w:val="00040E76"/>
    <w:rsid w:val="000417EB"/>
    <w:rsid w:val="000418E6"/>
    <w:rsid w:val="00042266"/>
    <w:rsid w:val="0004239A"/>
    <w:rsid w:val="000426EC"/>
    <w:rsid w:val="000426FA"/>
    <w:rsid w:val="00042A13"/>
    <w:rsid w:val="00042B4B"/>
    <w:rsid w:val="00042EAB"/>
    <w:rsid w:val="00042EEA"/>
    <w:rsid w:val="000430CB"/>
    <w:rsid w:val="000431AD"/>
    <w:rsid w:val="00043356"/>
    <w:rsid w:val="000435FF"/>
    <w:rsid w:val="00043851"/>
    <w:rsid w:val="00043D32"/>
    <w:rsid w:val="0004468F"/>
    <w:rsid w:val="00044D24"/>
    <w:rsid w:val="0004513F"/>
    <w:rsid w:val="00045147"/>
    <w:rsid w:val="000455B9"/>
    <w:rsid w:val="000456AC"/>
    <w:rsid w:val="00045CFB"/>
    <w:rsid w:val="000462DA"/>
    <w:rsid w:val="0004649E"/>
    <w:rsid w:val="000468DD"/>
    <w:rsid w:val="00046B5D"/>
    <w:rsid w:val="00047AC9"/>
    <w:rsid w:val="00047BC3"/>
    <w:rsid w:val="0005138C"/>
    <w:rsid w:val="00051391"/>
    <w:rsid w:val="00051466"/>
    <w:rsid w:val="0005173C"/>
    <w:rsid w:val="0005175A"/>
    <w:rsid w:val="000517DB"/>
    <w:rsid w:val="00051AFD"/>
    <w:rsid w:val="00052371"/>
    <w:rsid w:val="00052473"/>
    <w:rsid w:val="00053292"/>
    <w:rsid w:val="00053918"/>
    <w:rsid w:val="00053A45"/>
    <w:rsid w:val="00053A8B"/>
    <w:rsid w:val="00053B0D"/>
    <w:rsid w:val="00054291"/>
    <w:rsid w:val="00054A9D"/>
    <w:rsid w:val="00054E87"/>
    <w:rsid w:val="000552CC"/>
    <w:rsid w:val="00055490"/>
    <w:rsid w:val="0005553C"/>
    <w:rsid w:val="000561B2"/>
    <w:rsid w:val="00056C44"/>
    <w:rsid w:val="00056F97"/>
    <w:rsid w:val="000573D7"/>
    <w:rsid w:val="000574D1"/>
    <w:rsid w:val="0006039D"/>
    <w:rsid w:val="0006048B"/>
    <w:rsid w:val="000606AD"/>
    <w:rsid w:val="00060748"/>
    <w:rsid w:val="000608F4"/>
    <w:rsid w:val="00060C0C"/>
    <w:rsid w:val="00060FB7"/>
    <w:rsid w:val="000612DF"/>
    <w:rsid w:val="0006173B"/>
    <w:rsid w:val="000618B3"/>
    <w:rsid w:val="00061A52"/>
    <w:rsid w:val="00061ED9"/>
    <w:rsid w:val="00061F66"/>
    <w:rsid w:val="00062D86"/>
    <w:rsid w:val="000636BE"/>
    <w:rsid w:val="000637DB"/>
    <w:rsid w:val="000638FD"/>
    <w:rsid w:val="00063A36"/>
    <w:rsid w:val="00063C98"/>
    <w:rsid w:val="0006410F"/>
    <w:rsid w:val="000647A8"/>
    <w:rsid w:val="00064A90"/>
    <w:rsid w:val="00065150"/>
    <w:rsid w:val="00065E0A"/>
    <w:rsid w:val="00066252"/>
    <w:rsid w:val="00066327"/>
    <w:rsid w:val="00066495"/>
    <w:rsid w:val="00066547"/>
    <w:rsid w:val="00066E5C"/>
    <w:rsid w:val="00066E83"/>
    <w:rsid w:val="000671FA"/>
    <w:rsid w:val="0006786F"/>
    <w:rsid w:val="0007015F"/>
    <w:rsid w:val="00070559"/>
    <w:rsid w:val="000709A1"/>
    <w:rsid w:val="00070CAD"/>
    <w:rsid w:val="00070EC3"/>
    <w:rsid w:val="00071170"/>
    <w:rsid w:val="00071193"/>
    <w:rsid w:val="0007140F"/>
    <w:rsid w:val="0007176D"/>
    <w:rsid w:val="00071997"/>
    <w:rsid w:val="000719AC"/>
    <w:rsid w:val="00071EED"/>
    <w:rsid w:val="00071F70"/>
    <w:rsid w:val="0007216B"/>
    <w:rsid w:val="000726F2"/>
    <w:rsid w:val="00072C8D"/>
    <w:rsid w:val="0007312E"/>
    <w:rsid w:val="00073859"/>
    <w:rsid w:val="00073962"/>
    <w:rsid w:val="00073A77"/>
    <w:rsid w:val="00073AC2"/>
    <w:rsid w:val="00074062"/>
    <w:rsid w:val="00074A98"/>
    <w:rsid w:val="00074DA1"/>
    <w:rsid w:val="000753A9"/>
    <w:rsid w:val="000755F4"/>
    <w:rsid w:val="000758A6"/>
    <w:rsid w:val="00075931"/>
    <w:rsid w:val="00075A7D"/>
    <w:rsid w:val="00075CB9"/>
    <w:rsid w:val="00076939"/>
    <w:rsid w:val="00076E73"/>
    <w:rsid w:val="00076F8B"/>
    <w:rsid w:val="0007703F"/>
    <w:rsid w:val="000770AB"/>
    <w:rsid w:val="000772B9"/>
    <w:rsid w:val="00077B59"/>
    <w:rsid w:val="0008011D"/>
    <w:rsid w:val="0008039E"/>
    <w:rsid w:val="00080B81"/>
    <w:rsid w:val="000812C6"/>
    <w:rsid w:val="000818F1"/>
    <w:rsid w:val="00081A74"/>
    <w:rsid w:val="00081CA0"/>
    <w:rsid w:val="00081E70"/>
    <w:rsid w:val="00082372"/>
    <w:rsid w:val="0008292C"/>
    <w:rsid w:val="00082F45"/>
    <w:rsid w:val="000831BB"/>
    <w:rsid w:val="000836E0"/>
    <w:rsid w:val="00083715"/>
    <w:rsid w:val="000837D3"/>
    <w:rsid w:val="00083914"/>
    <w:rsid w:val="00083C47"/>
    <w:rsid w:val="00083DD1"/>
    <w:rsid w:val="00083E62"/>
    <w:rsid w:val="00083EFA"/>
    <w:rsid w:val="00083F7B"/>
    <w:rsid w:val="000848A9"/>
    <w:rsid w:val="00084AFF"/>
    <w:rsid w:val="00084D5F"/>
    <w:rsid w:val="00084DA8"/>
    <w:rsid w:val="0008513D"/>
    <w:rsid w:val="000853CD"/>
    <w:rsid w:val="00085414"/>
    <w:rsid w:val="000856EA"/>
    <w:rsid w:val="00085872"/>
    <w:rsid w:val="00086096"/>
    <w:rsid w:val="000869AF"/>
    <w:rsid w:val="00086AD1"/>
    <w:rsid w:val="00086B5F"/>
    <w:rsid w:val="00086D7D"/>
    <w:rsid w:val="0008759C"/>
    <w:rsid w:val="000879C6"/>
    <w:rsid w:val="00087A12"/>
    <w:rsid w:val="00087C10"/>
    <w:rsid w:val="00087C9B"/>
    <w:rsid w:val="00087CED"/>
    <w:rsid w:val="00087DD3"/>
    <w:rsid w:val="00090871"/>
    <w:rsid w:val="00090965"/>
    <w:rsid w:val="00091030"/>
    <w:rsid w:val="000912C7"/>
    <w:rsid w:val="000913E6"/>
    <w:rsid w:val="0009149E"/>
    <w:rsid w:val="00091BE3"/>
    <w:rsid w:val="00091C9A"/>
    <w:rsid w:val="00091F82"/>
    <w:rsid w:val="0009206E"/>
    <w:rsid w:val="00092084"/>
    <w:rsid w:val="000922AB"/>
    <w:rsid w:val="000926E4"/>
    <w:rsid w:val="0009296F"/>
    <w:rsid w:val="00092BD1"/>
    <w:rsid w:val="000934D6"/>
    <w:rsid w:val="00093646"/>
    <w:rsid w:val="00093B41"/>
    <w:rsid w:val="00093F19"/>
    <w:rsid w:val="000948C7"/>
    <w:rsid w:val="00094B34"/>
    <w:rsid w:val="00094D68"/>
    <w:rsid w:val="00094ED9"/>
    <w:rsid w:val="000954E5"/>
    <w:rsid w:val="000955D5"/>
    <w:rsid w:val="00095DA6"/>
    <w:rsid w:val="00095F9C"/>
    <w:rsid w:val="0009640B"/>
    <w:rsid w:val="0009678E"/>
    <w:rsid w:val="0009681D"/>
    <w:rsid w:val="000968F6"/>
    <w:rsid w:val="00096921"/>
    <w:rsid w:val="00096A09"/>
    <w:rsid w:val="0009795B"/>
    <w:rsid w:val="000A04B4"/>
    <w:rsid w:val="000A073C"/>
    <w:rsid w:val="000A192B"/>
    <w:rsid w:val="000A23BB"/>
    <w:rsid w:val="000A27BC"/>
    <w:rsid w:val="000A2867"/>
    <w:rsid w:val="000A2965"/>
    <w:rsid w:val="000A3119"/>
    <w:rsid w:val="000A429C"/>
    <w:rsid w:val="000A5350"/>
    <w:rsid w:val="000A56A7"/>
    <w:rsid w:val="000A5797"/>
    <w:rsid w:val="000A59BE"/>
    <w:rsid w:val="000A5B52"/>
    <w:rsid w:val="000A6258"/>
    <w:rsid w:val="000A6C56"/>
    <w:rsid w:val="000A6EC9"/>
    <w:rsid w:val="000A713A"/>
    <w:rsid w:val="000A782B"/>
    <w:rsid w:val="000A7E95"/>
    <w:rsid w:val="000B020A"/>
    <w:rsid w:val="000B06CB"/>
    <w:rsid w:val="000B0E55"/>
    <w:rsid w:val="000B1987"/>
    <w:rsid w:val="000B1A81"/>
    <w:rsid w:val="000B1BA4"/>
    <w:rsid w:val="000B2146"/>
    <w:rsid w:val="000B21FF"/>
    <w:rsid w:val="000B24C6"/>
    <w:rsid w:val="000B2AF4"/>
    <w:rsid w:val="000B3054"/>
    <w:rsid w:val="000B371F"/>
    <w:rsid w:val="000B3A06"/>
    <w:rsid w:val="000B3B49"/>
    <w:rsid w:val="000B4710"/>
    <w:rsid w:val="000B4CC3"/>
    <w:rsid w:val="000B4E67"/>
    <w:rsid w:val="000B5700"/>
    <w:rsid w:val="000B5CEA"/>
    <w:rsid w:val="000B5E48"/>
    <w:rsid w:val="000B5E6F"/>
    <w:rsid w:val="000B5F60"/>
    <w:rsid w:val="000B601B"/>
    <w:rsid w:val="000B6A30"/>
    <w:rsid w:val="000B7674"/>
    <w:rsid w:val="000B7E6D"/>
    <w:rsid w:val="000C0149"/>
    <w:rsid w:val="000C0944"/>
    <w:rsid w:val="000C100B"/>
    <w:rsid w:val="000C13A7"/>
    <w:rsid w:val="000C1C2B"/>
    <w:rsid w:val="000C1CFF"/>
    <w:rsid w:val="000C2706"/>
    <w:rsid w:val="000C31DA"/>
    <w:rsid w:val="000C3516"/>
    <w:rsid w:val="000C360D"/>
    <w:rsid w:val="000C367F"/>
    <w:rsid w:val="000C36CC"/>
    <w:rsid w:val="000C3FF1"/>
    <w:rsid w:val="000C46D4"/>
    <w:rsid w:val="000C4CAE"/>
    <w:rsid w:val="000C4F1D"/>
    <w:rsid w:val="000C5203"/>
    <w:rsid w:val="000C5664"/>
    <w:rsid w:val="000C58BF"/>
    <w:rsid w:val="000C5E20"/>
    <w:rsid w:val="000C5E69"/>
    <w:rsid w:val="000C6A04"/>
    <w:rsid w:val="000C6BF0"/>
    <w:rsid w:val="000C7ED5"/>
    <w:rsid w:val="000D0087"/>
    <w:rsid w:val="000D01D3"/>
    <w:rsid w:val="000D02BF"/>
    <w:rsid w:val="000D0493"/>
    <w:rsid w:val="000D0B87"/>
    <w:rsid w:val="000D184A"/>
    <w:rsid w:val="000D1FA2"/>
    <w:rsid w:val="000D23DD"/>
    <w:rsid w:val="000D2AD4"/>
    <w:rsid w:val="000D2B5F"/>
    <w:rsid w:val="000D32C8"/>
    <w:rsid w:val="000D32EA"/>
    <w:rsid w:val="000D34FB"/>
    <w:rsid w:val="000D396C"/>
    <w:rsid w:val="000D3BCD"/>
    <w:rsid w:val="000D4275"/>
    <w:rsid w:val="000D46C4"/>
    <w:rsid w:val="000D478F"/>
    <w:rsid w:val="000D4D97"/>
    <w:rsid w:val="000D54B5"/>
    <w:rsid w:val="000D54F3"/>
    <w:rsid w:val="000D59A2"/>
    <w:rsid w:val="000D5C4C"/>
    <w:rsid w:val="000D5CBA"/>
    <w:rsid w:val="000D66CB"/>
    <w:rsid w:val="000D6C34"/>
    <w:rsid w:val="000D6E73"/>
    <w:rsid w:val="000D7397"/>
    <w:rsid w:val="000D76AF"/>
    <w:rsid w:val="000E0162"/>
    <w:rsid w:val="000E07B3"/>
    <w:rsid w:val="000E0941"/>
    <w:rsid w:val="000E09EF"/>
    <w:rsid w:val="000E0B2A"/>
    <w:rsid w:val="000E12A4"/>
    <w:rsid w:val="000E1525"/>
    <w:rsid w:val="000E1E95"/>
    <w:rsid w:val="000E1F29"/>
    <w:rsid w:val="000E23AC"/>
    <w:rsid w:val="000E24B7"/>
    <w:rsid w:val="000E3714"/>
    <w:rsid w:val="000E4168"/>
    <w:rsid w:val="000E43AF"/>
    <w:rsid w:val="000E47A4"/>
    <w:rsid w:val="000E487E"/>
    <w:rsid w:val="000E4C75"/>
    <w:rsid w:val="000E4DC7"/>
    <w:rsid w:val="000E4F31"/>
    <w:rsid w:val="000E5367"/>
    <w:rsid w:val="000E58D7"/>
    <w:rsid w:val="000E5CFA"/>
    <w:rsid w:val="000E5F15"/>
    <w:rsid w:val="000E5F3A"/>
    <w:rsid w:val="000E6DEF"/>
    <w:rsid w:val="000E76F7"/>
    <w:rsid w:val="000E79BD"/>
    <w:rsid w:val="000E7B4E"/>
    <w:rsid w:val="000E7C5D"/>
    <w:rsid w:val="000F02F1"/>
    <w:rsid w:val="000F0568"/>
    <w:rsid w:val="000F0AEE"/>
    <w:rsid w:val="000F1489"/>
    <w:rsid w:val="000F205E"/>
    <w:rsid w:val="000F2227"/>
    <w:rsid w:val="000F25AC"/>
    <w:rsid w:val="000F25F6"/>
    <w:rsid w:val="000F26D2"/>
    <w:rsid w:val="000F2820"/>
    <w:rsid w:val="000F2C64"/>
    <w:rsid w:val="000F3753"/>
    <w:rsid w:val="000F44A0"/>
    <w:rsid w:val="000F47BA"/>
    <w:rsid w:val="000F4AAC"/>
    <w:rsid w:val="000F4BF0"/>
    <w:rsid w:val="000F5430"/>
    <w:rsid w:val="000F5C04"/>
    <w:rsid w:val="000F620F"/>
    <w:rsid w:val="000F6BE6"/>
    <w:rsid w:val="000F6EE5"/>
    <w:rsid w:val="000F7368"/>
    <w:rsid w:val="00101196"/>
    <w:rsid w:val="001017AA"/>
    <w:rsid w:val="001018CD"/>
    <w:rsid w:val="00101CC8"/>
    <w:rsid w:val="00101DC3"/>
    <w:rsid w:val="00102014"/>
    <w:rsid w:val="001020AC"/>
    <w:rsid w:val="0010236D"/>
    <w:rsid w:val="0010266F"/>
    <w:rsid w:val="0010279D"/>
    <w:rsid w:val="001029A5"/>
    <w:rsid w:val="00102D5F"/>
    <w:rsid w:val="00103013"/>
    <w:rsid w:val="00103027"/>
    <w:rsid w:val="00103119"/>
    <w:rsid w:val="001035F1"/>
    <w:rsid w:val="001038C4"/>
    <w:rsid w:val="00103C12"/>
    <w:rsid w:val="00104006"/>
    <w:rsid w:val="001043A6"/>
    <w:rsid w:val="00104492"/>
    <w:rsid w:val="00104A61"/>
    <w:rsid w:val="00104C02"/>
    <w:rsid w:val="001050E7"/>
    <w:rsid w:val="001058D2"/>
    <w:rsid w:val="00105BA1"/>
    <w:rsid w:val="00105D90"/>
    <w:rsid w:val="00105F2E"/>
    <w:rsid w:val="00105F9A"/>
    <w:rsid w:val="00106A6F"/>
    <w:rsid w:val="00107499"/>
    <w:rsid w:val="0010755B"/>
    <w:rsid w:val="00110F0B"/>
    <w:rsid w:val="00111208"/>
    <w:rsid w:val="0011131F"/>
    <w:rsid w:val="00111C04"/>
    <w:rsid w:val="00111EEF"/>
    <w:rsid w:val="001121AC"/>
    <w:rsid w:val="00112457"/>
    <w:rsid w:val="00112AEA"/>
    <w:rsid w:val="00113016"/>
    <w:rsid w:val="0011302B"/>
    <w:rsid w:val="0011310E"/>
    <w:rsid w:val="0011323E"/>
    <w:rsid w:val="00113282"/>
    <w:rsid w:val="00113694"/>
    <w:rsid w:val="00114146"/>
    <w:rsid w:val="00114504"/>
    <w:rsid w:val="0011487F"/>
    <w:rsid w:val="00114AAB"/>
    <w:rsid w:val="00114BB3"/>
    <w:rsid w:val="00114DD0"/>
    <w:rsid w:val="00114F5E"/>
    <w:rsid w:val="001150B3"/>
    <w:rsid w:val="001152DD"/>
    <w:rsid w:val="0011541C"/>
    <w:rsid w:val="00116082"/>
    <w:rsid w:val="0011615D"/>
    <w:rsid w:val="00116529"/>
    <w:rsid w:val="00116A86"/>
    <w:rsid w:val="00116FF8"/>
    <w:rsid w:val="0011780C"/>
    <w:rsid w:val="00117CA3"/>
    <w:rsid w:val="00117CB7"/>
    <w:rsid w:val="00117FD0"/>
    <w:rsid w:val="001200F6"/>
    <w:rsid w:val="001205B6"/>
    <w:rsid w:val="00120A1E"/>
    <w:rsid w:val="001210B9"/>
    <w:rsid w:val="00121358"/>
    <w:rsid w:val="00121952"/>
    <w:rsid w:val="00121EC6"/>
    <w:rsid w:val="00121FB4"/>
    <w:rsid w:val="00121FB6"/>
    <w:rsid w:val="00121FFE"/>
    <w:rsid w:val="0012232B"/>
    <w:rsid w:val="0012297D"/>
    <w:rsid w:val="001229FF"/>
    <w:rsid w:val="00123308"/>
    <w:rsid w:val="001236AE"/>
    <w:rsid w:val="001237C3"/>
    <w:rsid w:val="00123A4F"/>
    <w:rsid w:val="00123E29"/>
    <w:rsid w:val="00124210"/>
    <w:rsid w:val="001255AB"/>
    <w:rsid w:val="001258D4"/>
    <w:rsid w:val="0012596A"/>
    <w:rsid w:val="00125ABD"/>
    <w:rsid w:val="00125B65"/>
    <w:rsid w:val="00125FF3"/>
    <w:rsid w:val="0012669C"/>
    <w:rsid w:val="001268AD"/>
    <w:rsid w:val="00127561"/>
    <w:rsid w:val="00127F1A"/>
    <w:rsid w:val="00130734"/>
    <w:rsid w:val="00130C01"/>
    <w:rsid w:val="00130D05"/>
    <w:rsid w:val="00130FB0"/>
    <w:rsid w:val="001314AD"/>
    <w:rsid w:val="0013177C"/>
    <w:rsid w:val="00131954"/>
    <w:rsid w:val="00131B8C"/>
    <w:rsid w:val="00132200"/>
    <w:rsid w:val="00132391"/>
    <w:rsid w:val="00132EE4"/>
    <w:rsid w:val="00133214"/>
    <w:rsid w:val="0013325C"/>
    <w:rsid w:val="001332DF"/>
    <w:rsid w:val="00133960"/>
    <w:rsid w:val="00133B79"/>
    <w:rsid w:val="001344FD"/>
    <w:rsid w:val="00134AAE"/>
    <w:rsid w:val="00134F28"/>
    <w:rsid w:val="0013553A"/>
    <w:rsid w:val="001355E5"/>
    <w:rsid w:val="0013571C"/>
    <w:rsid w:val="00135EDB"/>
    <w:rsid w:val="001360B6"/>
    <w:rsid w:val="00136593"/>
    <w:rsid w:val="0013680A"/>
    <w:rsid w:val="001375F0"/>
    <w:rsid w:val="001376BC"/>
    <w:rsid w:val="0013772F"/>
    <w:rsid w:val="0013797F"/>
    <w:rsid w:val="00137B12"/>
    <w:rsid w:val="00137E83"/>
    <w:rsid w:val="0014000B"/>
    <w:rsid w:val="00140344"/>
    <w:rsid w:val="001404AD"/>
    <w:rsid w:val="0014067F"/>
    <w:rsid w:val="00140923"/>
    <w:rsid w:val="00140A62"/>
    <w:rsid w:val="00140BC9"/>
    <w:rsid w:val="00140BD3"/>
    <w:rsid w:val="00140C2F"/>
    <w:rsid w:val="00140EB9"/>
    <w:rsid w:val="0014196A"/>
    <w:rsid w:val="001419C0"/>
    <w:rsid w:val="00141BCD"/>
    <w:rsid w:val="00141F8A"/>
    <w:rsid w:val="001421E8"/>
    <w:rsid w:val="001422C1"/>
    <w:rsid w:val="00142359"/>
    <w:rsid w:val="0014256D"/>
    <w:rsid w:val="0014300B"/>
    <w:rsid w:val="00143B31"/>
    <w:rsid w:val="00143DBB"/>
    <w:rsid w:val="00143E4F"/>
    <w:rsid w:val="001444E9"/>
    <w:rsid w:val="001445B3"/>
    <w:rsid w:val="001445F4"/>
    <w:rsid w:val="001449E8"/>
    <w:rsid w:val="00144A9D"/>
    <w:rsid w:val="00144B24"/>
    <w:rsid w:val="00144E7F"/>
    <w:rsid w:val="00144E8E"/>
    <w:rsid w:val="001452F5"/>
    <w:rsid w:val="00145E45"/>
    <w:rsid w:val="001463F1"/>
    <w:rsid w:val="00146797"/>
    <w:rsid w:val="00146814"/>
    <w:rsid w:val="00146CBE"/>
    <w:rsid w:val="00146E12"/>
    <w:rsid w:val="00146E7A"/>
    <w:rsid w:val="00147327"/>
    <w:rsid w:val="00147A71"/>
    <w:rsid w:val="00147E0A"/>
    <w:rsid w:val="00147EAB"/>
    <w:rsid w:val="001501ED"/>
    <w:rsid w:val="001508DA"/>
    <w:rsid w:val="00150C4B"/>
    <w:rsid w:val="00151125"/>
    <w:rsid w:val="001514A3"/>
    <w:rsid w:val="001514FB"/>
    <w:rsid w:val="001518A2"/>
    <w:rsid w:val="001528B3"/>
    <w:rsid w:val="00152968"/>
    <w:rsid w:val="001529E2"/>
    <w:rsid w:val="00153159"/>
    <w:rsid w:val="0015346B"/>
    <w:rsid w:val="00153738"/>
    <w:rsid w:val="00153FD9"/>
    <w:rsid w:val="0015433D"/>
    <w:rsid w:val="001552F2"/>
    <w:rsid w:val="001553CA"/>
    <w:rsid w:val="00155672"/>
    <w:rsid w:val="001561CE"/>
    <w:rsid w:val="00156952"/>
    <w:rsid w:val="00156E7C"/>
    <w:rsid w:val="00157203"/>
    <w:rsid w:val="00157241"/>
    <w:rsid w:val="00157C8F"/>
    <w:rsid w:val="00157EF5"/>
    <w:rsid w:val="00157F82"/>
    <w:rsid w:val="00160197"/>
    <w:rsid w:val="001601CB"/>
    <w:rsid w:val="0016033F"/>
    <w:rsid w:val="001604D3"/>
    <w:rsid w:val="00160519"/>
    <w:rsid w:val="001608FF"/>
    <w:rsid w:val="00160B86"/>
    <w:rsid w:val="00160F0D"/>
    <w:rsid w:val="0016121D"/>
    <w:rsid w:val="0016132A"/>
    <w:rsid w:val="00161A43"/>
    <w:rsid w:val="0016247B"/>
    <w:rsid w:val="0016255F"/>
    <w:rsid w:val="001639FD"/>
    <w:rsid w:val="00163AAA"/>
    <w:rsid w:val="00163B0B"/>
    <w:rsid w:val="00164629"/>
    <w:rsid w:val="00164C39"/>
    <w:rsid w:val="00164E92"/>
    <w:rsid w:val="001652BD"/>
    <w:rsid w:val="001654B3"/>
    <w:rsid w:val="00165585"/>
    <w:rsid w:val="00165876"/>
    <w:rsid w:val="00165A07"/>
    <w:rsid w:val="00165A30"/>
    <w:rsid w:val="00165B8E"/>
    <w:rsid w:val="00166331"/>
    <w:rsid w:val="0016655E"/>
    <w:rsid w:val="00166689"/>
    <w:rsid w:val="00166765"/>
    <w:rsid w:val="001670C6"/>
    <w:rsid w:val="001672B6"/>
    <w:rsid w:val="00167530"/>
    <w:rsid w:val="00167623"/>
    <w:rsid w:val="0016777D"/>
    <w:rsid w:val="00167822"/>
    <w:rsid w:val="00167999"/>
    <w:rsid w:val="00167C9B"/>
    <w:rsid w:val="0017047B"/>
    <w:rsid w:val="0017047E"/>
    <w:rsid w:val="00170781"/>
    <w:rsid w:val="00171385"/>
    <w:rsid w:val="00171390"/>
    <w:rsid w:val="001714F6"/>
    <w:rsid w:val="0017183E"/>
    <w:rsid w:val="001721F9"/>
    <w:rsid w:val="001722BF"/>
    <w:rsid w:val="00172397"/>
    <w:rsid w:val="0017248E"/>
    <w:rsid w:val="001724B8"/>
    <w:rsid w:val="0017251E"/>
    <w:rsid w:val="001725E9"/>
    <w:rsid w:val="00172D95"/>
    <w:rsid w:val="00172E91"/>
    <w:rsid w:val="00172EE3"/>
    <w:rsid w:val="001730C3"/>
    <w:rsid w:val="00173C60"/>
    <w:rsid w:val="00173E95"/>
    <w:rsid w:val="00174A8F"/>
    <w:rsid w:val="00174E70"/>
    <w:rsid w:val="00176262"/>
    <w:rsid w:val="00176533"/>
    <w:rsid w:val="001767EA"/>
    <w:rsid w:val="00176E54"/>
    <w:rsid w:val="00176F66"/>
    <w:rsid w:val="00177E51"/>
    <w:rsid w:val="00177F22"/>
    <w:rsid w:val="001803F8"/>
    <w:rsid w:val="0018058E"/>
    <w:rsid w:val="00180901"/>
    <w:rsid w:val="0018170B"/>
    <w:rsid w:val="0018177D"/>
    <w:rsid w:val="00181DC4"/>
    <w:rsid w:val="001822C9"/>
    <w:rsid w:val="0018270D"/>
    <w:rsid w:val="00182782"/>
    <w:rsid w:val="00182D91"/>
    <w:rsid w:val="00182DD1"/>
    <w:rsid w:val="00183210"/>
    <w:rsid w:val="00183290"/>
    <w:rsid w:val="0018343A"/>
    <w:rsid w:val="001834D7"/>
    <w:rsid w:val="0018372D"/>
    <w:rsid w:val="00183957"/>
    <w:rsid w:val="00183DC6"/>
    <w:rsid w:val="00184277"/>
    <w:rsid w:val="001846C0"/>
    <w:rsid w:val="001847B8"/>
    <w:rsid w:val="00184996"/>
    <w:rsid w:val="00184A97"/>
    <w:rsid w:val="00184BFE"/>
    <w:rsid w:val="001851BF"/>
    <w:rsid w:val="00185EB8"/>
    <w:rsid w:val="001863EA"/>
    <w:rsid w:val="001864D7"/>
    <w:rsid w:val="00186C79"/>
    <w:rsid w:val="00186E91"/>
    <w:rsid w:val="00187083"/>
    <w:rsid w:val="0018764C"/>
    <w:rsid w:val="00187976"/>
    <w:rsid w:val="00187D4C"/>
    <w:rsid w:val="00187F0E"/>
    <w:rsid w:val="00190194"/>
    <w:rsid w:val="00190528"/>
    <w:rsid w:val="00190707"/>
    <w:rsid w:val="001908AE"/>
    <w:rsid w:val="001908B6"/>
    <w:rsid w:val="00190B8A"/>
    <w:rsid w:val="00190C08"/>
    <w:rsid w:val="001914E7"/>
    <w:rsid w:val="00191E3D"/>
    <w:rsid w:val="0019205A"/>
    <w:rsid w:val="0019208D"/>
    <w:rsid w:val="00192440"/>
    <w:rsid w:val="001924F6"/>
    <w:rsid w:val="001926DB"/>
    <w:rsid w:val="00192897"/>
    <w:rsid w:val="001928B9"/>
    <w:rsid w:val="001929CF"/>
    <w:rsid w:val="001929DC"/>
    <w:rsid w:val="00192AA6"/>
    <w:rsid w:val="00192BC8"/>
    <w:rsid w:val="001937B2"/>
    <w:rsid w:val="001937C1"/>
    <w:rsid w:val="00193926"/>
    <w:rsid w:val="00193982"/>
    <w:rsid w:val="00193AFC"/>
    <w:rsid w:val="00194A04"/>
    <w:rsid w:val="00194E9B"/>
    <w:rsid w:val="00195224"/>
    <w:rsid w:val="00196308"/>
    <w:rsid w:val="001963D3"/>
    <w:rsid w:val="00196D21"/>
    <w:rsid w:val="00196D86"/>
    <w:rsid w:val="0019706B"/>
    <w:rsid w:val="0019769B"/>
    <w:rsid w:val="00197734"/>
    <w:rsid w:val="00197B52"/>
    <w:rsid w:val="001A0580"/>
    <w:rsid w:val="001A0F14"/>
    <w:rsid w:val="001A0F77"/>
    <w:rsid w:val="001A117C"/>
    <w:rsid w:val="001A1A9F"/>
    <w:rsid w:val="001A1BA6"/>
    <w:rsid w:val="001A2092"/>
    <w:rsid w:val="001A236E"/>
    <w:rsid w:val="001A2A16"/>
    <w:rsid w:val="001A2A3A"/>
    <w:rsid w:val="001A2C8D"/>
    <w:rsid w:val="001A2D19"/>
    <w:rsid w:val="001A2F4B"/>
    <w:rsid w:val="001A374D"/>
    <w:rsid w:val="001A381C"/>
    <w:rsid w:val="001A383D"/>
    <w:rsid w:val="001A3AA4"/>
    <w:rsid w:val="001A3AFE"/>
    <w:rsid w:val="001A3B22"/>
    <w:rsid w:val="001A40F7"/>
    <w:rsid w:val="001A41D2"/>
    <w:rsid w:val="001A45B2"/>
    <w:rsid w:val="001A45C3"/>
    <w:rsid w:val="001A46CF"/>
    <w:rsid w:val="001A4C18"/>
    <w:rsid w:val="001A4C55"/>
    <w:rsid w:val="001A4FBE"/>
    <w:rsid w:val="001A51F0"/>
    <w:rsid w:val="001A536C"/>
    <w:rsid w:val="001A55FD"/>
    <w:rsid w:val="001A67C4"/>
    <w:rsid w:val="001A6815"/>
    <w:rsid w:val="001A68CE"/>
    <w:rsid w:val="001A69DF"/>
    <w:rsid w:val="001A7486"/>
    <w:rsid w:val="001A760D"/>
    <w:rsid w:val="001A7B6D"/>
    <w:rsid w:val="001A7BC1"/>
    <w:rsid w:val="001B100E"/>
    <w:rsid w:val="001B1567"/>
    <w:rsid w:val="001B1E4F"/>
    <w:rsid w:val="001B1EE8"/>
    <w:rsid w:val="001B2145"/>
    <w:rsid w:val="001B2766"/>
    <w:rsid w:val="001B2811"/>
    <w:rsid w:val="001B28AF"/>
    <w:rsid w:val="001B2AD2"/>
    <w:rsid w:val="001B2CC1"/>
    <w:rsid w:val="001B2E20"/>
    <w:rsid w:val="001B2E43"/>
    <w:rsid w:val="001B2F37"/>
    <w:rsid w:val="001B339B"/>
    <w:rsid w:val="001B365D"/>
    <w:rsid w:val="001B36E6"/>
    <w:rsid w:val="001B38FA"/>
    <w:rsid w:val="001B397B"/>
    <w:rsid w:val="001B4164"/>
    <w:rsid w:val="001B428A"/>
    <w:rsid w:val="001B4634"/>
    <w:rsid w:val="001B465D"/>
    <w:rsid w:val="001B504F"/>
    <w:rsid w:val="001B5829"/>
    <w:rsid w:val="001B5A17"/>
    <w:rsid w:val="001B5C9F"/>
    <w:rsid w:val="001B5F23"/>
    <w:rsid w:val="001B612A"/>
    <w:rsid w:val="001B693B"/>
    <w:rsid w:val="001B6A15"/>
    <w:rsid w:val="001B6C1C"/>
    <w:rsid w:val="001C0289"/>
    <w:rsid w:val="001C02C0"/>
    <w:rsid w:val="001C0A67"/>
    <w:rsid w:val="001C0C47"/>
    <w:rsid w:val="001C16BF"/>
    <w:rsid w:val="001C1CC0"/>
    <w:rsid w:val="001C1D24"/>
    <w:rsid w:val="001C20B4"/>
    <w:rsid w:val="001C21B2"/>
    <w:rsid w:val="001C2734"/>
    <w:rsid w:val="001C3296"/>
    <w:rsid w:val="001C354D"/>
    <w:rsid w:val="001C387B"/>
    <w:rsid w:val="001C3ADA"/>
    <w:rsid w:val="001C3C46"/>
    <w:rsid w:val="001C3FA4"/>
    <w:rsid w:val="001C4282"/>
    <w:rsid w:val="001C50E5"/>
    <w:rsid w:val="001C5683"/>
    <w:rsid w:val="001C6CAF"/>
    <w:rsid w:val="001C6F58"/>
    <w:rsid w:val="001C7201"/>
    <w:rsid w:val="001C72BA"/>
    <w:rsid w:val="001C7535"/>
    <w:rsid w:val="001C7992"/>
    <w:rsid w:val="001C7AF4"/>
    <w:rsid w:val="001C7C63"/>
    <w:rsid w:val="001D0291"/>
    <w:rsid w:val="001D0301"/>
    <w:rsid w:val="001D050B"/>
    <w:rsid w:val="001D062F"/>
    <w:rsid w:val="001D066C"/>
    <w:rsid w:val="001D0ABD"/>
    <w:rsid w:val="001D0E28"/>
    <w:rsid w:val="001D0F2E"/>
    <w:rsid w:val="001D0F6D"/>
    <w:rsid w:val="001D1773"/>
    <w:rsid w:val="001D1C66"/>
    <w:rsid w:val="001D1CC5"/>
    <w:rsid w:val="001D2211"/>
    <w:rsid w:val="001D2304"/>
    <w:rsid w:val="001D2446"/>
    <w:rsid w:val="001D25C5"/>
    <w:rsid w:val="001D2A84"/>
    <w:rsid w:val="001D30A5"/>
    <w:rsid w:val="001D318A"/>
    <w:rsid w:val="001D33EF"/>
    <w:rsid w:val="001D361A"/>
    <w:rsid w:val="001D390A"/>
    <w:rsid w:val="001D3D12"/>
    <w:rsid w:val="001D4629"/>
    <w:rsid w:val="001D4A0E"/>
    <w:rsid w:val="001D4AC4"/>
    <w:rsid w:val="001D4B4F"/>
    <w:rsid w:val="001D4D0C"/>
    <w:rsid w:val="001D4FE9"/>
    <w:rsid w:val="001D5370"/>
    <w:rsid w:val="001D56CF"/>
    <w:rsid w:val="001D5E22"/>
    <w:rsid w:val="001D6829"/>
    <w:rsid w:val="001D68CC"/>
    <w:rsid w:val="001D6B0B"/>
    <w:rsid w:val="001D6B3B"/>
    <w:rsid w:val="001D7069"/>
    <w:rsid w:val="001E0296"/>
    <w:rsid w:val="001E02CB"/>
    <w:rsid w:val="001E05D0"/>
    <w:rsid w:val="001E062D"/>
    <w:rsid w:val="001E0703"/>
    <w:rsid w:val="001E0730"/>
    <w:rsid w:val="001E0BC9"/>
    <w:rsid w:val="001E101A"/>
    <w:rsid w:val="001E139F"/>
    <w:rsid w:val="001E18A9"/>
    <w:rsid w:val="001E1B99"/>
    <w:rsid w:val="001E1CE9"/>
    <w:rsid w:val="001E1FD7"/>
    <w:rsid w:val="001E200F"/>
    <w:rsid w:val="001E265B"/>
    <w:rsid w:val="001E272C"/>
    <w:rsid w:val="001E2FBF"/>
    <w:rsid w:val="001E337E"/>
    <w:rsid w:val="001E33ED"/>
    <w:rsid w:val="001E34A7"/>
    <w:rsid w:val="001E3694"/>
    <w:rsid w:val="001E38E5"/>
    <w:rsid w:val="001E394F"/>
    <w:rsid w:val="001E4185"/>
    <w:rsid w:val="001E452F"/>
    <w:rsid w:val="001E49F6"/>
    <w:rsid w:val="001E4CF9"/>
    <w:rsid w:val="001E4D4F"/>
    <w:rsid w:val="001E4DB9"/>
    <w:rsid w:val="001E50F9"/>
    <w:rsid w:val="001E5FAD"/>
    <w:rsid w:val="001E67B6"/>
    <w:rsid w:val="001E6CD9"/>
    <w:rsid w:val="001E6E41"/>
    <w:rsid w:val="001E6F53"/>
    <w:rsid w:val="001E6FAB"/>
    <w:rsid w:val="001E76F4"/>
    <w:rsid w:val="001E7878"/>
    <w:rsid w:val="001E7CDC"/>
    <w:rsid w:val="001E7E19"/>
    <w:rsid w:val="001E7F45"/>
    <w:rsid w:val="001F0056"/>
    <w:rsid w:val="001F0107"/>
    <w:rsid w:val="001F082A"/>
    <w:rsid w:val="001F0AC4"/>
    <w:rsid w:val="001F0F51"/>
    <w:rsid w:val="001F149B"/>
    <w:rsid w:val="001F1C2A"/>
    <w:rsid w:val="001F1EBB"/>
    <w:rsid w:val="001F20EF"/>
    <w:rsid w:val="001F21D9"/>
    <w:rsid w:val="001F2C6C"/>
    <w:rsid w:val="001F2F21"/>
    <w:rsid w:val="001F36FA"/>
    <w:rsid w:val="001F3767"/>
    <w:rsid w:val="001F3894"/>
    <w:rsid w:val="001F38ED"/>
    <w:rsid w:val="001F395E"/>
    <w:rsid w:val="001F3960"/>
    <w:rsid w:val="001F3B6C"/>
    <w:rsid w:val="001F3E61"/>
    <w:rsid w:val="001F3ED4"/>
    <w:rsid w:val="001F4263"/>
    <w:rsid w:val="001F4B41"/>
    <w:rsid w:val="001F4BBC"/>
    <w:rsid w:val="001F4D7A"/>
    <w:rsid w:val="001F4D99"/>
    <w:rsid w:val="001F539D"/>
    <w:rsid w:val="001F54EA"/>
    <w:rsid w:val="001F5E8A"/>
    <w:rsid w:val="001F5EEB"/>
    <w:rsid w:val="001F607B"/>
    <w:rsid w:val="001F62C7"/>
    <w:rsid w:val="001F696B"/>
    <w:rsid w:val="001F69F3"/>
    <w:rsid w:val="001F6B09"/>
    <w:rsid w:val="001F6C66"/>
    <w:rsid w:val="001F78A2"/>
    <w:rsid w:val="001F79B8"/>
    <w:rsid w:val="001F7B38"/>
    <w:rsid w:val="001F7E69"/>
    <w:rsid w:val="001F7EBE"/>
    <w:rsid w:val="0020023B"/>
    <w:rsid w:val="002005A4"/>
    <w:rsid w:val="0020073E"/>
    <w:rsid w:val="00200EF8"/>
    <w:rsid w:val="00201098"/>
    <w:rsid w:val="002010E9"/>
    <w:rsid w:val="0020114A"/>
    <w:rsid w:val="002013A8"/>
    <w:rsid w:val="002013DB"/>
    <w:rsid w:val="00201D25"/>
    <w:rsid w:val="00202044"/>
    <w:rsid w:val="00203C74"/>
    <w:rsid w:val="0020426D"/>
    <w:rsid w:val="002042CF"/>
    <w:rsid w:val="0020439B"/>
    <w:rsid w:val="002046C5"/>
    <w:rsid w:val="002046F8"/>
    <w:rsid w:val="00204857"/>
    <w:rsid w:val="00204E1C"/>
    <w:rsid w:val="0020517E"/>
    <w:rsid w:val="002051E9"/>
    <w:rsid w:val="00205488"/>
    <w:rsid w:val="0020552B"/>
    <w:rsid w:val="002057FB"/>
    <w:rsid w:val="002058C0"/>
    <w:rsid w:val="00205CB6"/>
    <w:rsid w:val="00205D18"/>
    <w:rsid w:val="002061BA"/>
    <w:rsid w:val="00206559"/>
    <w:rsid w:val="002065A9"/>
    <w:rsid w:val="002067A9"/>
    <w:rsid w:val="00206BA9"/>
    <w:rsid w:val="00206E77"/>
    <w:rsid w:val="00207238"/>
    <w:rsid w:val="002075DD"/>
    <w:rsid w:val="00207B95"/>
    <w:rsid w:val="00207C40"/>
    <w:rsid w:val="0021060F"/>
    <w:rsid w:val="002106BF"/>
    <w:rsid w:val="0021151D"/>
    <w:rsid w:val="00211848"/>
    <w:rsid w:val="00211D40"/>
    <w:rsid w:val="00211DCA"/>
    <w:rsid w:val="00211E5A"/>
    <w:rsid w:val="00212955"/>
    <w:rsid w:val="00212A87"/>
    <w:rsid w:val="00212DA3"/>
    <w:rsid w:val="00212DB5"/>
    <w:rsid w:val="00213832"/>
    <w:rsid w:val="002138B4"/>
    <w:rsid w:val="00213A25"/>
    <w:rsid w:val="002145C9"/>
    <w:rsid w:val="0021473D"/>
    <w:rsid w:val="00215164"/>
    <w:rsid w:val="002151CF"/>
    <w:rsid w:val="0021710F"/>
    <w:rsid w:val="00217470"/>
    <w:rsid w:val="002178A8"/>
    <w:rsid w:val="002202AD"/>
    <w:rsid w:val="002202DE"/>
    <w:rsid w:val="002205E1"/>
    <w:rsid w:val="0022074E"/>
    <w:rsid w:val="0022081C"/>
    <w:rsid w:val="002208E8"/>
    <w:rsid w:val="00220F3E"/>
    <w:rsid w:val="00221275"/>
    <w:rsid w:val="00221650"/>
    <w:rsid w:val="002216C1"/>
    <w:rsid w:val="0022226C"/>
    <w:rsid w:val="00222301"/>
    <w:rsid w:val="00222710"/>
    <w:rsid w:val="00222B64"/>
    <w:rsid w:val="00222B7A"/>
    <w:rsid w:val="00222F10"/>
    <w:rsid w:val="0022333B"/>
    <w:rsid w:val="00223B8C"/>
    <w:rsid w:val="002241A2"/>
    <w:rsid w:val="00224307"/>
    <w:rsid w:val="00224836"/>
    <w:rsid w:val="00224921"/>
    <w:rsid w:val="002249EC"/>
    <w:rsid w:val="00224AB5"/>
    <w:rsid w:val="00224B36"/>
    <w:rsid w:val="00224DA7"/>
    <w:rsid w:val="0022507A"/>
    <w:rsid w:val="00225356"/>
    <w:rsid w:val="002258E9"/>
    <w:rsid w:val="002259C9"/>
    <w:rsid w:val="0022654B"/>
    <w:rsid w:val="002267F9"/>
    <w:rsid w:val="00226DDC"/>
    <w:rsid w:val="0022739D"/>
    <w:rsid w:val="00227503"/>
    <w:rsid w:val="0022751C"/>
    <w:rsid w:val="002277D7"/>
    <w:rsid w:val="00227B86"/>
    <w:rsid w:val="00227B8A"/>
    <w:rsid w:val="00230031"/>
    <w:rsid w:val="0023036E"/>
    <w:rsid w:val="00230570"/>
    <w:rsid w:val="00230A5A"/>
    <w:rsid w:val="00230BF7"/>
    <w:rsid w:val="00230E48"/>
    <w:rsid w:val="00231363"/>
    <w:rsid w:val="0023144A"/>
    <w:rsid w:val="00231A1A"/>
    <w:rsid w:val="00231EF3"/>
    <w:rsid w:val="00232005"/>
    <w:rsid w:val="00232403"/>
    <w:rsid w:val="00232753"/>
    <w:rsid w:val="00232A35"/>
    <w:rsid w:val="00232C77"/>
    <w:rsid w:val="00232F2D"/>
    <w:rsid w:val="00233081"/>
    <w:rsid w:val="00233932"/>
    <w:rsid w:val="00233A9D"/>
    <w:rsid w:val="00233DE9"/>
    <w:rsid w:val="002345FD"/>
    <w:rsid w:val="00234D35"/>
    <w:rsid w:val="00235235"/>
    <w:rsid w:val="0023555C"/>
    <w:rsid w:val="002357F4"/>
    <w:rsid w:val="0023586D"/>
    <w:rsid w:val="00235C09"/>
    <w:rsid w:val="00235F76"/>
    <w:rsid w:val="00236270"/>
    <w:rsid w:val="002362E0"/>
    <w:rsid w:val="002367AD"/>
    <w:rsid w:val="002369EF"/>
    <w:rsid w:val="00236C0E"/>
    <w:rsid w:val="0023725A"/>
    <w:rsid w:val="002377D4"/>
    <w:rsid w:val="00237988"/>
    <w:rsid w:val="00237AF2"/>
    <w:rsid w:val="00237B1C"/>
    <w:rsid w:val="00237E5C"/>
    <w:rsid w:val="00237F20"/>
    <w:rsid w:val="002404BD"/>
    <w:rsid w:val="002405E7"/>
    <w:rsid w:val="00240ACB"/>
    <w:rsid w:val="002411FC"/>
    <w:rsid w:val="00241493"/>
    <w:rsid w:val="00241C0C"/>
    <w:rsid w:val="00241F32"/>
    <w:rsid w:val="00241F83"/>
    <w:rsid w:val="0024298E"/>
    <w:rsid w:val="00242B93"/>
    <w:rsid w:val="00242C76"/>
    <w:rsid w:val="00243873"/>
    <w:rsid w:val="00243995"/>
    <w:rsid w:val="00243F50"/>
    <w:rsid w:val="00244093"/>
    <w:rsid w:val="0024439B"/>
    <w:rsid w:val="002445BA"/>
    <w:rsid w:val="00244855"/>
    <w:rsid w:val="0024492A"/>
    <w:rsid w:val="00244A49"/>
    <w:rsid w:val="00244B16"/>
    <w:rsid w:val="00244E21"/>
    <w:rsid w:val="0024511B"/>
    <w:rsid w:val="00245264"/>
    <w:rsid w:val="0024537C"/>
    <w:rsid w:val="0024539B"/>
    <w:rsid w:val="002454AD"/>
    <w:rsid w:val="0024559F"/>
    <w:rsid w:val="00245D72"/>
    <w:rsid w:val="00246089"/>
    <w:rsid w:val="0024621F"/>
    <w:rsid w:val="0024626D"/>
    <w:rsid w:val="002468A1"/>
    <w:rsid w:val="002469DA"/>
    <w:rsid w:val="00246A49"/>
    <w:rsid w:val="002472F2"/>
    <w:rsid w:val="00247905"/>
    <w:rsid w:val="002479CE"/>
    <w:rsid w:val="00247C01"/>
    <w:rsid w:val="00247D03"/>
    <w:rsid w:val="0025070B"/>
    <w:rsid w:val="00250938"/>
    <w:rsid w:val="0025099E"/>
    <w:rsid w:val="002511A9"/>
    <w:rsid w:val="00251412"/>
    <w:rsid w:val="00251A7B"/>
    <w:rsid w:val="00251F7D"/>
    <w:rsid w:val="002521A5"/>
    <w:rsid w:val="0025226A"/>
    <w:rsid w:val="00252C7A"/>
    <w:rsid w:val="00252F7C"/>
    <w:rsid w:val="00253095"/>
    <w:rsid w:val="00253198"/>
    <w:rsid w:val="0025324C"/>
    <w:rsid w:val="00253EF6"/>
    <w:rsid w:val="00254055"/>
    <w:rsid w:val="002540F4"/>
    <w:rsid w:val="00254103"/>
    <w:rsid w:val="0025444C"/>
    <w:rsid w:val="002544A9"/>
    <w:rsid w:val="00254583"/>
    <w:rsid w:val="00254868"/>
    <w:rsid w:val="00254E8C"/>
    <w:rsid w:val="00255474"/>
    <w:rsid w:val="002560AB"/>
    <w:rsid w:val="002562E2"/>
    <w:rsid w:val="002567C1"/>
    <w:rsid w:val="0025681A"/>
    <w:rsid w:val="00256B19"/>
    <w:rsid w:val="00256BCB"/>
    <w:rsid w:val="002577EB"/>
    <w:rsid w:val="002578A4"/>
    <w:rsid w:val="002579AA"/>
    <w:rsid w:val="00257DC7"/>
    <w:rsid w:val="00257FE1"/>
    <w:rsid w:val="002604BF"/>
    <w:rsid w:val="002608EF"/>
    <w:rsid w:val="00260A2B"/>
    <w:rsid w:val="002612CC"/>
    <w:rsid w:val="00261BD4"/>
    <w:rsid w:val="00261E22"/>
    <w:rsid w:val="00262242"/>
    <w:rsid w:val="0026237A"/>
    <w:rsid w:val="00262387"/>
    <w:rsid w:val="0026271A"/>
    <w:rsid w:val="002627B8"/>
    <w:rsid w:val="0026292B"/>
    <w:rsid w:val="00262D5A"/>
    <w:rsid w:val="00263ADB"/>
    <w:rsid w:val="00263DCD"/>
    <w:rsid w:val="00263E29"/>
    <w:rsid w:val="00263EE4"/>
    <w:rsid w:val="00263F1E"/>
    <w:rsid w:val="00264165"/>
    <w:rsid w:val="002641DB"/>
    <w:rsid w:val="002652D5"/>
    <w:rsid w:val="002653A4"/>
    <w:rsid w:val="002656F2"/>
    <w:rsid w:val="00265E9F"/>
    <w:rsid w:val="00265FCF"/>
    <w:rsid w:val="002660DF"/>
    <w:rsid w:val="0026690B"/>
    <w:rsid w:val="002669D5"/>
    <w:rsid w:val="00266A58"/>
    <w:rsid w:val="00266AF1"/>
    <w:rsid w:val="00266D48"/>
    <w:rsid w:val="002678AB"/>
    <w:rsid w:val="002679D2"/>
    <w:rsid w:val="00267C7A"/>
    <w:rsid w:val="00267D4D"/>
    <w:rsid w:val="002702FC"/>
    <w:rsid w:val="00270344"/>
    <w:rsid w:val="002707D8"/>
    <w:rsid w:val="00270870"/>
    <w:rsid w:val="00270E62"/>
    <w:rsid w:val="00271011"/>
    <w:rsid w:val="00271A5C"/>
    <w:rsid w:val="0027211D"/>
    <w:rsid w:val="00272247"/>
    <w:rsid w:val="002722A6"/>
    <w:rsid w:val="0027246D"/>
    <w:rsid w:val="0027247C"/>
    <w:rsid w:val="0027267A"/>
    <w:rsid w:val="002728E8"/>
    <w:rsid w:val="00272B92"/>
    <w:rsid w:val="00273174"/>
    <w:rsid w:val="00273265"/>
    <w:rsid w:val="00273C3A"/>
    <w:rsid w:val="00273D23"/>
    <w:rsid w:val="00273DBF"/>
    <w:rsid w:val="00274B55"/>
    <w:rsid w:val="00274CCD"/>
    <w:rsid w:val="00274E86"/>
    <w:rsid w:val="0027544A"/>
    <w:rsid w:val="0027563C"/>
    <w:rsid w:val="002756AD"/>
    <w:rsid w:val="00275A05"/>
    <w:rsid w:val="00275AFC"/>
    <w:rsid w:val="00276023"/>
    <w:rsid w:val="00276171"/>
    <w:rsid w:val="002764AB"/>
    <w:rsid w:val="00280B0D"/>
    <w:rsid w:val="00281234"/>
    <w:rsid w:val="002816C9"/>
    <w:rsid w:val="00281A66"/>
    <w:rsid w:val="00281ACF"/>
    <w:rsid w:val="00281C28"/>
    <w:rsid w:val="00282670"/>
    <w:rsid w:val="00282981"/>
    <w:rsid w:val="00282F16"/>
    <w:rsid w:val="0028303A"/>
    <w:rsid w:val="0028305D"/>
    <w:rsid w:val="00283AEC"/>
    <w:rsid w:val="00283C23"/>
    <w:rsid w:val="002840C4"/>
    <w:rsid w:val="00284102"/>
    <w:rsid w:val="0028437E"/>
    <w:rsid w:val="00284893"/>
    <w:rsid w:val="00284A98"/>
    <w:rsid w:val="00286439"/>
    <w:rsid w:val="0028694B"/>
    <w:rsid w:val="00286DE1"/>
    <w:rsid w:val="00287720"/>
    <w:rsid w:val="00287753"/>
    <w:rsid w:val="00287886"/>
    <w:rsid w:val="00287A14"/>
    <w:rsid w:val="00287A86"/>
    <w:rsid w:val="00287BAB"/>
    <w:rsid w:val="00287C82"/>
    <w:rsid w:val="00287DEF"/>
    <w:rsid w:val="0029004F"/>
    <w:rsid w:val="00290598"/>
    <w:rsid w:val="00291222"/>
    <w:rsid w:val="00291AAD"/>
    <w:rsid w:val="00292AA4"/>
    <w:rsid w:val="00292C0F"/>
    <w:rsid w:val="00292FDA"/>
    <w:rsid w:val="00293703"/>
    <w:rsid w:val="002937BB"/>
    <w:rsid w:val="0029393E"/>
    <w:rsid w:val="00293C7E"/>
    <w:rsid w:val="00293DAB"/>
    <w:rsid w:val="00293EB5"/>
    <w:rsid w:val="00294441"/>
    <w:rsid w:val="0029444F"/>
    <w:rsid w:val="00294526"/>
    <w:rsid w:val="00294594"/>
    <w:rsid w:val="00294A6C"/>
    <w:rsid w:val="00294B02"/>
    <w:rsid w:val="00294B69"/>
    <w:rsid w:val="00294CFF"/>
    <w:rsid w:val="00294D2A"/>
    <w:rsid w:val="00296323"/>
    <w:rsid w:val="00296B71"/>
    <w:rsid w:val="00296D2E"/>
    <w:rsid w:val="002974C5"/>
    <w:rsid w:val="0029750E"/>
    <w:rsid w:val="002977CB"/>
    <w:rsid w:val="00297DBB"/>
    <w:rsid w:val="002A065F"/>
    <w:rsid w:val="002A0A50"/>
    <w:rsid w:val="002A0AA1"/>
    <w:rsid w:val="002A0B7D"/>
    <w:rsid w:val="002A0BFB"/>
    <w:rsid w:val="002A0E4C"/>
    <w:rsid w:val="002A1672"/>
    <w:rsid w:val="002A1903"/>
    <w:rsid w:val="002A1979"/>
    <w:rsid w:val="002A22F5"/>
    <w:rsid w:val="002A254C"/>
    <w:rsid w:val="002A25E4"/>
    <w:rsid w:val="002A2ADB"/>
    <w:rsid w:val="002A2E37"/>
    <w:rsid w:val="002A2F9A"/>
    <w:rsid w:val="002A3238"/>
    <w:rsid w:val="002A33F9"/>
    <w:rsid w:val="002A368F"/>
    <w:rsid w:val="002A3907"/>
    <w:rsid w:val="002A4534"/>
    <w:rsid w:val="002A459E"/>
    <w:rsid w:val="002A493E"/>
    <w:rsid w:val="002A4DB7"/>
    <w:rsid w:val="002A58E7"/>
    <w:rsid w:val="002A63CE"/>
    <w:rsid w:val="002A6B1B"/>
    <w:rsid w:val="002A6D1E"/>
    <w:rsid w:val="002A7B50"/>
    <w:rsid w:val="002A7E12"/>
    <w:rsid w:val="002A7E21"/>
    <w:rsid w:val="002B032A"/>
    <w:rsid w:val="002B0543"/>
    <w:rsid w:val="002B0657"/>
    <w:rsid w:val="002B1554"/>
    <w:rsid w:val="002B1A2F"/>
    <w:rsid w:val="002B1B29"/>
    <w:rsid w:val="002B20C7"/>
    <w:rsid w:val="002B2319"/>
    <w:rsid w:val="002B286A"/>
    <w:rsid w:val="002B28D7"/>
    <w:rsid w:val="002B2966"/>
    <w:rsid w:val="002B2BAC"/>
    <w:rsid w:val="002B2ED1"/>
    <w:rsid w:val="002B422C"/>
    <w:rsid w:val="002B4667"/>
    <w:rsid w:val="002B4D09"/>
    <w:rsid w:val="002B5083"/>
    <w:rsid w:val="002B5890"/>
    <w:rsid w:val="002B59DA"/>
    <w:rsid w:val="002B5A8C"/>
    <w:rsid w:val="002B6EE0"/>
    <w:rsid w:val="002B6FC7"/>
    <w:rsid w:val="002B7000"/>
    <w:rsid w:val="002B72E6"/>
    <w:rsid w:val="002B79F4"/>
    <w:rsid w:val="002B7AAE"/>
    <w:rsid w:val="002B7B3D"/>
    <w:rsid w:val="002B7F1D"/>
    <w:rsid w:val="002C0316"/>
    <w:rsid w:val="002C038F"/>
    <w:rsid w:val="002C0E60"/>
    <w:rsid w:val="002C137C"/>
    <w:rsid w:val="002C20F7"/>
    <w:rsid w:val="002C2CCB"/>
    <w:rsid w:val="002C2E59"/>
    <w:rsid w:val="002C3202"/>
    <w:rsid w:val="002C35C4"/>
    <w:rsid w:val="002C433D"/>
    <w:rsid w:val="002C4D38"/>
    <w:rsid w:val="002C52D7"/>
    <w:rsid w:val="002C5F40"/>
    <w:rsid w:val="002C61C5"/>
    <w:rsid w:val="002C645F"/>
    <w:rsid w:val="002C6572"/>
    <w:rsid w:val="002C7A0D"/>
    <w:rsid w:val="002C7C8D"/>
    <w:rsid w:val="002D0036"/>
    <w:rsid w:val="002D004C"/>
    <w:rsid w:val="002D020C"/>
    <w:rsid w:val="002D03D4"/>
    <w:rsid w:val="002D07DE"/>
    <w:rsid w:val="002D0DDC"/>
    <w:rsid w:val="002D0EEB"/>
    <w:rsid w:val="002D0F6D"/>
    <w:rsid w:val="002D16C1"/>
    <w:rsid w:val="002D2086"/>
    <w:rsid w:val="002D23AD"/>
    <w:rsid w:val="002D2625"/>
    <w:rsid w:val="002D29CA"/>
    <w:rsid w:val="002D33CB"/>
    <w:rsid w:val="002D3C58"/>
    <w:rsid w:val="002D3D98"/>
    <w:rsid w:val="002D411C"/>
    <w:rsid w:val="002D44A6"/>
    <w:rsid w:val="002D453C"/>
    <w:rsid w:val="002D477B"/>
    <w:rsid w:val="002D4F8F"/>
    <w:rsid w:val="002D518B"/>
    <w:rsid w:val="002D5283"/>
    <w:rsid w:val="002D556C"/>
    <w:rsid w:val="002D5E38"/>
    <w:rsid w:val="002D60D3"/>
    <w:rsid w:val="002D6516"/>
    <w:rsid w:val="002D66C4"/>
    <w:rsid w:val="002D699F"/>
    <w:rsid w:val="002D6C00"/>
    <w:rsid w:val="002D6C10"/>
    <w:rsid w:val="002D7093"/>
    <w:rsid w:val="002D7258"/>
    <w:rsid w:val="002D72E3"/>
    <w:rsid w:val="002D7308"/>
    <w:rsid w:val="002D7899"/>
    <w:rsid w:val="002D7B43"/>
    <w:rsid w:val="002D7CF9"/>
    <w:rsid w:val="002D7EDE"/>
    <w:rsid w:val="002E0605"/>
    <w:rsid w:val="002E07D6"/>
    <w:rsid w:val="002E1283"/>
    <w:rsid w:val="002E17D5"/>
    <w:rsid w:val="002E18B2"/>
    <w:rsid w:val="002E1B9F"/>
    <w:rsid w:val="002E2C76"/>
    <w:rsid w:val="002E2E6D"/>
    <w:rsid w:val="002E3381"/>
    <w:rsid w:val="002E3676"/>
    <w:rsid w:val="002E3835"/>
    <w:rsid w:val="002E411B"/>
    <w:rsid w:val="002E50EC"/>
    <w:rsid w:val="002E554F"/>
    <w:rsid w:val="002E56F8"/>
    <w:rsid w:val="002E683F"/>
    <w:rsid w:val="002E6A5D"/>
    <w:rsid w:val="002E6CB7"/>
    <w:rsid w:val="002E7014"/>
    <w:rsid w:val="002E7B48"/>
    <w:rsid w:val="002E7EFC"/>
    <w:rsid w:val="002E7FC6"/>
    <w:rsid w:val="002F03AB"/>
    <w:rsid w:val="002F08BE"/>
    <w:rsid w:val="002F0FD7"/>
    <w:rsid w:val="002F1463"/>
    <w:rsid w:val="002F1B4E"/>
    <w:rsid w:val="002F219C"/>
    <w:rsid w:val="002F21CC"/>
    <w:rsid w:val="002F26A2"/>
    <w:rsid w:val="002F27DC"/>
    <w:rsid w:val="002F287C"/>
    <w:rsid w:val="002F3289"/>
    <w:rsid w:val="002F33DD"/>
    <w:rsid w:val="002F4314"/>
    <w:rsid w:val="002F46CB"/>
    <w:rsid w:val="002F4937"/>
    <w:rsid w:val="002F49B6"/>
    <w:rsid w:val="002F4ACC"/>
    <w:rsid w:val="002F4F99"/>
    <w:rsid w:val="002F4FDA"/>
    <w:rsid w:val="002F5131"/>
    <w:rsid w:val="002F56A5"/>
    <w:rsid w:val="002F5BE3"/>
    <w:rsid w:val="002F5C5B"/>
    <w:rsid w:val="002F5E63"/>
    <w:rsid w:val="002F62AF"/>
    <w:rsid w:val="002F64A0"/>
    <w:rsid w:val="002F7215"/>
    <w:rsid w:val="002F7548"/>
    <w:rsid w:val="00300C09"/>
    <w:rsid w:val="00300C8F"/>
    <w:rsid w:val="00300E19"/>
    <w:rsid w:val="00301153"/>
    <w:rsid w:val="00301526"/>
    <w:rsid w:val="003016B1"/>
    <w:rsid w:val="00301857"/>
    <w:rsid w:val="0030281E"/>
    <w:rsid w:val="00302CF7"/>
    <w:rsid w:val="00302D9F"/>
    <w:rsid w:val="00302F53"/>
    <w:rsid w:val="003036C8"/>
    <w:rsid w:val="003038C0"/>
    <w:rsid w:val="003038FC"/>
    <w:rsid w:val="00304109"/>
    <w:rsid w:val="003041FA"/>
    <w:rsid w:val="00304519"/>
    <w:rsid w:val="00304EBF"/>
    <w:rsid w:val="00304EC6"/>
    <w:rsid w:val="003051D7"/>
    <w:rsid w:val="003054DD"/>
    <w:rsid w:val="00305591"/>
    <w:rsid w:val="003059B2"/>
    <w:rsid w:val="003059EF"/>
    <w:rsid w:val="00305D60"/>
    <w:rsid w:val="003069BD"/>
    <w:rsid w:val="00306D6B"/>
    <w:rsid w:val="00306FB0"/>
    <w:rsid w:val="00307268"/>
    <w:rsid w:val="00307434"/>
    <w:rsid w:val="003077F2"/>
    <w:rsid w:val="00307C69"/>
    <w:rsid w:val="0031015A"/>
    <w:rsid w:val="00310AF1"/>
    <w:rsid w:val="00310B2A"/>
    <w:rsid w:val="00310B38"/>
    <w:rsid w:val="00311062"/>
    <w:rsid w:val="0031117A"/>
    <w:rsid w:val="003112C2"/>
    <w:rsid w:val="0031186F"/>
    <w:rsid w:val="00311B8A"/>
    <w:rsid w:val="00311F10"/>
    <w:rsid w:val="00312025"/>
    <w:rsid w:val="003125DD"/>
    <w:rsid w:val="00312C4F"/>
    <w:rsid w:val="00312D6F"/>
    <w:rsid w:val="00312DBF"/>
    <w:rsid w:val="00313538"/>
    <w:rsid w:val="0031378C"/>
    <w:rsid w:val="0031387F"/>
    <w:rsid w:val="00313FD2"/>
    <w:rsid w:val="00314532"/>
    <w:rsid w:val="003145E8"/>
    <w:rsid w:val="00314622"/>
    <w:rsid w:val="003147D4"/>
    <w:rsid w:val="0031539C"/>
    <w:rsid w:val="0031553F"/>
    <w:rsid w:val="003156E8"/>
    <w:rsid w:val="00315EA7"/>
    <w:rsid w:val="00315EAB"/>
    <w:rsid w:val="00316126"/>
    <w:rsid w:val="00316902"/>
    <w:rsid w:val="00316DE4"/>
    <w:rsid w:val="00316ED9"/>
    <w:rsid w:val="00316F5C"/>
    <w:rsid w:val="003174BE"/>
    <w:rsid w:val="0031773B"/>
    <w:rsid w:val="00317956"/>
    <w:rsid w:val="00317C67"/>
    <w:rsid w:val="00317CED"/>
    <w:rsid w:val="00317EEC"/>
    <w:rsid w:val="003209C6"/>
    <w:rsid w:val="00320A76"/>
    <w:rsid w:val="00320C76"/>
    <w:rsid w:val="00320E75"/>
    <w:rsid w:val="003219BB"/>
    <w:rsid w:val="00321A09"/>
    <w:rsid w:val="00322029"/>
    <w:rsid w:val="0032216A"/>
    <w:rsid w:val="00322700"/>
    <w:rsid w:val="00322703"/>
    <w:rsid w:val="00322C84"/>
    <w:rsid w:val="00322CB7"/>
    <w:rsid w:val="00322D38"/>
    <w:rsid w:val="00322E19"/>
    <w:rsid w:val="00323322"/>
    <w:rsid w:val="00323B66"/>
    <w:rsid w:val="00324699"/>
    <w:rsid w:val="00324A37"/>
    <w:rsid w:val="00324B4B"/>
    <w:rsid w:val="00324C8E"/>
    <w:rsid w:val="00324CE1"/>
    <w:rsid w:val="00324D52"/>
    <w:rsid w:val="00325516"/>
    <w:rsid w:val="00325BD4"/>
    <w:rsid w:val="00325E55"/>
    <w:rsid w:val="003262CB"/>
    <w:rsid w:val="00326521"/>
    <w:rsid w:val="0032762E"/>
    <w:rsid w:val="0032792D"/>
    <w:rsid w:val="00327DCF"/>
    <w:rsid w:val="00327ECB"/>
    <w:rsid w:val="003308BC"/>
    <w:rsid w:val="00330D5D"/>
    <w:rsid w:val="00330FFC"/>
    <w:rsid w:val="0033110F"/>
    <w:rsid w:val="0033115B"/>
    <w:rsid w:val="00331747"/>
    <w:rsid w:val="003317AC"/>
    <w:rsid w:val="0033183C"/>
    <w:rsid w:val="00331C18"/>
    <w:rsid w:val="00332800"/>
    <w:rsid w:val="00332E0E"/>
    <w:rsid w:val="00332F48"/>
    <w:rsid w:val="00333074"/>
    <w:rsid w:val="003334A7"/>
    <w:rsid w:val="003336AF"/>
    <w:rsid w:val="003339D8"/>
    <w:rsid w:val="00333CCE"/>
    <w:rsid w:val="00333DCB"/>
    <w:rsid w:val="0033451A"/>
    <w:rsid w:val="00334590"/>
    <w:rsid w:val="0033476B"/>
    <w:rsid w:val="003347A6"/>
    <w:rsid w:val="00334E18"/>
    <w:rsid w:val="00335267"/>
    <w:rsid w:val="0033535B"/>
    <w:rsid w:val="0033555E"/>
    <w:rsid w:val="003363D9"/>
    <w:rsid w:val="00336428"/>
    <w:rsid w:val="003369AA"/>
    <w:rsid w:val="00336CF4"/>
    <w:rsid w:val="00336E44"/>
    <w:rsid w:val="00337B5B"/>
    <w:rsid w:val="0034000E"/>
    <w:rsid w:val="00340029"/>
    <w:rsid w:val="0034034F"/>
    <w:rsid w:val="00340664"/>
    <w:rsid w:val="0034074A"/>
    <w:rsid w:val="003407E7"/>
    <w:rsid w:val="003408A7"/>
    <w:rsid w:val="003419B1"/>
    <w:rsid w:val="00341F49"/>
    <w:rsid w:val="00342130"/>
    <w:rsid w:val="003429AC"/>
    <w:rsid w:val="00342B6F"/>
    <w:rsid w:val="0034310F"/>
    <w:rsid w:val="003435F8"/>
    <w:rsid w:val="00344369"/>
    <w:rsid w:val="00344631"/>
    <w:rsid w:val="0034486F"/>
    <w:rsid w:val="00344DAA"/>
    <w:rsid w:val="00344DD2"/>
    <w:rsid w:val="00345151"/>
    <w:rsid w:val="003455A2"/>
    <w:rsid w:val="00345E4D"/>
    <w:rsid w:val="00345F93"/>
    <w:rsid w:val="00346083"/>
    <w:rsid w:val="00346D6E"/>
    <w:rsid w:val="00346E6F"/>
    <w:rsid w:val="00350317"/>
    <w:rsid w:val="00350AF2"/>
    <w:rsid w:val="00350C2E"/>
    <w:rsid w:val="00351577"/>
    <w:rsid w:val="003515CB"/>
    <w:rsid w:val="003515E7"/>
    <w:rsid w:val="003521F5"/>
    <w:rsid w:val="00352E12"/>
    <w:rsid w:val="00353332"/>
    <w:rsid w:val="003535DB"/>
    <w:rsid w:val="003536D3"/>
    <w:rsid w:val="00353748"/>
    <w:rsid w:val="0035379C"/>
    <w:rsid w:val="003539B5"/>
    <w:rsid w:val="00353CCA"/>
    <w:rsid w:val="0035478D"/>
    <w:rsid w:val="003550BF"/>
    <w:rsid w:val="003553EB"/>
    <w:rsid w:val="0035554C"/>
    <w:rsid w:val="0035588B"/>
    <w:rsid w:val="00355989"/>
    <w:rsid w:val="00355AFC"/>
    <w:rsid w:val="00355DF4"/>
    <w:rsid w:val="00356306"/>
    <w:rsid w:val="003563CE"/>
    <w:rsid w:val="00356D0D"/>
    <w:rsid w:val="003573A0"/>
    <w:rsid w:val="003579BB"/>
    <w:rsid w:val="00357B07"/>
    <w:rsid w:val="00357B3E"/>
    <w:rsid w:val="00357DA8"/>
    <w:rsid w:val="00357F0E"/>
    <w:rsid w:val="00357F4C"/>
    <w:rsid w:val="00360BBA"/>
    <w:rsid w:val="00360D6B"/>
    <w:rsid w:val="00360E4F"/>
    <w:rsid w:val="00361273"/>
    <w:rsid w:val="003613B9"/>
    <w:rsid w:val="0036146B"/>
    <w:rsid w:val="003617C5"/>
    <w:rsid w:val="00361B3D"/>
    <w:rsid w:val="003621B4"/>
    <w:rsid w:val="00362430"/>
    <w:rsid w:val="00362442"/>
    <w:rsid w:val="003626F9"/>
    <w:rsid w:val="0036398E"/>
    <w:rsid w:val="00364AC4"/>
    <w:rsid w:val="00365446"/>
    <w:rsid w:val="003657EC"/>
    <w:rsid w:val="00365816"/>
    <w:rsid w:val="00366098"/>
    <w:rsid w:val="00366307"/>
    <w:rsid w:val="003663FE"/>
    <w:rsid w:val="003673D8"/>
    <w:rsid w:val="0036752F"/>
    <w:rsid w:val="003676DA"/>
    <w:rsid w:val="003678AE"/>
    <w:rsid w:val="003678BB"/>
    <w:rsid w:val="00367948"/>
    <w:rsid w:val="00367CCE"/>
    <w:rsid w:val="00370146"/>
    <w:rsid w:val="003702D4"/>
    <w:rsid w:val="003705CE"/>
    <w:rsid w:val="00370A50"/>
    <w:rsid w:val="003711EC"/>
    <w:rsid w:val="00371DE4"/>
    <w:rsid w:val="00372842"/>
    <w:rsid w:val="00372B08"/>
    <w:rsid w:val="00373C69"/>
    <w:rsid w:val="00374121"/>
    <w:rsid w:val="003746B0"/>
    <w:rsid w:val="0037528F"/>
    <w:rsid w:val="003758A3"/>
    <w:rsid w:val="003758B2"/>
    <w:rsid w:val="00375A37"/>
    <w:rsid w:val="00375AD3"/>
    <w:rsid w:val="003766B2"/>
    <w:rsid w:val="003767A9"/>
    <w:rsid w:val="00376C99"/>
    <w:rsid w:val="00376EE4"/>
    <w:rsid w:val="00377563"/>
    <w:rsid w:val="00377BD6"/>
    <w:rsid w:val="003800E7"/>
    <w:rsid w:val="003801FC"/>
    <w:rsid w:val="003806BA"/>
    <w:rsid w:val="00380966"/>
    <w:rsid w:val="00380A00"/>
    <w:rsid w:val="00380A12"/>
    <w:rsid w:val="00380F2C"/>
    <w:rsid w:val="003812B6"/>
    <w:rsid w:val="00381654"/>
    <w:rsid w:val="00381715"/>
    <w:rsid w:val="00381DB8"/>
    <w:rsid w:val="00382191"/>
    <w:rsid w:val="0038227A"/>
    <w:rsid w:val="00382C83"/>
    <w:rsid w:val="00382CBD"/>
    <w:rsid w:val="00382D03"/>
    <w:rsid w:val="00383152"/>
    <w:rsid w:val="0038332B"/>
    <w:rsid w:val="003834CF"/>
    <w:rsid w:val="00383DBC"/>
    <w:rsid w:val="00384CDA"/>
    <w:rsid w:val="00385B9E"/>
    <w:rsid w:val="00385C17"/>
    <w:rsid w:val="00385F91"/>
    <w:rsid w:val="00386489"/>
    <w:rsid w:val="00386A09"/>
    <w:rsid w:val="00386CD1"/>
    <w:rsid w:val="0038757A"/>
    <w:rsid w:val="003879A5"/>
    <w:rsid w:val="00387AEF"/>
    <w:rsid w:val="00387BCA"/>
    <w:rsid w:val="00387F18"/>
    <w:rsid w:val="00390384"/>
    <w:rsid w:val="003904A7"/>
    <w:rsid w:val="003905CD"/>
    <w:rsid w:val="003909B1"/>
    <w:rsid w:val="00390C97"/>
    <w:rsid w:val="00390D9A"/>
    <w:rsid w:val="00390F98"/>
    <w:rsid w:val="00390FBB"/>
    <w:rsid w:val="0039132B"/>
    <w:rsid w:val="00391473"/>
    <w:rsid w:val="00391518"/>
    <w:rsid w:val="00391E05"/>
    <w:rsid w:val="00391EF0"/>
    <w:rsid w:val="0039220F"/>
    <w:rsid w:val="00392271"/>
    <w:rsid w:val="003927C1"/>
    <w:rsid w:val="003928FC"/>
    <w:rsid w:val="00392BBC"/>
    <w:rsid w:val="003932D0"/>
    <w:rsid w:val="003934F7"/>
    <w:rsid w:val="00393A32"/>
    <w:rsid w:val="00393CD3"/>
    <w:rsid w:val="00394041"/>
    <w:rsid w:val="00394641"/>
    <w:rsid w:val="003947FE"/>
    <w:rsid w:val="00394D48"/>
    <w:rsid w:val="00394E61"/>
    <w:rsid w:val="0039584E"/>
    <w:rsid w:val="00395864"/>
    <w:rsid w:val="00395872"/>
    <w:rsid w:val="00395886"/>
    <w:rsid w:val="00395A3F"/>
    <w:rsid w:val="003961F1"/>
    <w:rsid w:val="00396CC9"/>
    <w:rsid w:val="00397597"/>
    <w:rsid w:val="00397625"/>
    <w:rsid w:val="0039762F"/>
    <w:rsid w:val="003979E2"/>
    <w:rsid w:val="003A09E2"/>
    <w:rsid w:val="003A0FCE"/>
    <w:rsid w:val="003A126D"/>
    <w:rsid w:val="003A13A2"/>
    <w:rsid w:val="003A1DCF"/>
    <w:rsid w:val="003A21BC"/>
    <w:rsid w:val="003A22A4"/>
    <w:rsid w:val="003A22F0"/>
    <w:rsid w:val="003A251A"/>
    <w:rsid w:val="003A3018"/>
    <w:rsid w:val="003A3118"/>
    <w:rsid w:val="003A3594"/>
    <w:rsid w:val="003A3EEF"/>
    <w:rsid w:val="003A3FCA"/>
    <w:rsid w:val="003A434B"/>
    <w:rsid w:val="003A4413"/>
    <w:rsid w:val="003A4F98"/>
    <w:rsid w:val="003A52B6"/>
    <w:rsid w:val="003A52CA"/>
    <w:rsid w:val="003A542E"/>
    <w:rsid w:val="003A546F"/>
    <w:rsid w:val="003A5633"/>
    <w:rsid w:val="003A5B03"/>
    <w:rsid w:val="003A638D"/>
    <w:rsid w:val="003A6678"/>
    <w:rsid w:val="003A6B4D"/>
    <w:rsid w:val="003A6C1B"/>
    <w:rsid w:val="003A6C7E"/>
    <w:rsid w:val="003A6CE3"/>
    <w:rsid w:val="003A6E25"/>
    <w:rsid w:val="003A6FC4"/>
    <w:rsid w:val="003A7146"/>
    <w:rsid w:val="003A727C"/>
    <w:rsid w:val="003A7583"/>
    <w:rsid w:val="003A79BF"/>
    <w:rsid w:val="003A7B8A"/>
    <w:rsid w:val="003A7D37"/>
    <w:rsid w:val="003B00E8"/>
    <w:rsid w:val="003B0203"/>
    <w:rsid w:val="003B0A34"/>
    <w:rsid w:val="003B0A3A"/>
    <w:rsid w:val="003B0AD7"/>
    <w:rsid w:val="003B0DB6"/>
    <w:rsid w:val="003B0EEC"/>
    <w:rsid w:val="003B1326"/>
    <w:rsid w:val="003B15C7"/>
    <w:rsid w:val="003B1870"/>
    <w:rsid w:val="003B1947"/>
    <w:rsid w:val="003B196D"/>
    <w:rsid w:val="003B1B25"/>
    <w:rsid w:val="003B1B3A"/>
    <w:rsid w:val="003B20F6"/>
    <w:rsid w:val="003B259C"/>
    <w:rsid w:val="003B2FB8"/>
    <w:rsid w:val="003B3708"/>
    <w:rsid w:val="003B39B3"/>
    <w:rsid w:val="003B3B56"/>
    <w:rsid w:val="003B3D2A"/>
    <w:rsid w:val="003B3DED"/>
    <w:rsid w:val="003B4554"/>
    <w:rsid w:val="003B4970"/>
    <w:rsid w:val="003B4971"/>
    <w:rsid w:val="003B4991"/>
    <w:rsid w:val="003B4A7A"/>
    <w:rsid w:val="003B4AC1"/>
    <w:rsid w:val="003B4B53"/>
    <w:rsid w:val="003B537D"/>
    <w:rsid w:val="003B5406"/>
    <w:rsid w:val="003B5F72"/>
    <w:rsid w:val="003B66B0"/>
    <w:rsid w:val="003B676D"/>
    <w:rsid w:val="003B6CE1"/>
    <w:rsid w:val="003B6D82"/>
    <w:rsid w:val="003B7262"/>
    <w:rsid w:val="003B7361"/>
    <w:rsid w:val="003B76E3"/>
    <w:rsid w:val="003B79B6"/>
    <w:rsid w:val="003C0339"/>
    <w:rsid w:val="003C0401"/>
    <w:rsid w:val="003C125E"/>
    <w:rsid w:val="003C16EC"/>
    <w:rsid w:val="003C1C7A"/>
    <w:rsid w:val="003C232F"/>
    <w:rsid w:val="003C24D3"/>
    <w:rsid w:val="003C26E3"/>
    <w:rsid w:val="003C2A8D"/>
    <w:rsid w:val="003C2B11"/>
    <w:rsid w:val="003C2D51"/>
    <w:rsid w:val="003C3311"/>
    <w:rsid w:val="003C3D01"/>
    <w:rsid w:val="003C4D38"/>
    <w:rsid w:val="003C5546"/>
    <w:rsid w:val="003C5E5C"/>
    <w:rsid w:val="003C63D7"/>
    <w:rsid w:val="003D06B2"/>
    <w:rsid w:val="003D07B3"/>
    <w:rsid w:val="003D07E0"/>
    <w:rsid w:val="003D0BE7"/>
    <w:rsid w:val="003D0E89"/>
    <w:rsid w:val="003D1108"/>
    <w:rsid w:val="003D159C"/>
    <w:rsid w:val="003D1A83"/>
    <w:rsid w:val="003D276A"/>
    <w:rsid w:val="003D2919"/>
    <w:rsid w:val="003D31F3"/>
    <w:rsid w:val="003D3429"/>
    <w:rsid w:val="003D35FF"/>
    <w:rsid w:val="003D364C"/>
    <w:rsid w:val="003D37DE"/>
    <w:rsid w:val="003D38A0"/>
    <w:rsid w:val="003D437D"/>
    <w:rsid w:val="003D4CD1"/>
    <w:rsid w:val="003D4FF5"/>
    <w:rsid w:val="003D5ACA"/>
    <w:rsid w:val="003D637F"/>
    <w:rsid w:val="003D6718"/>
    <w:rsid w:val="003D6889"/>
    <w:rsid w:val="003D68EA"/>
    <w:rsid w:val="003D7322"/>
    <w:rsid w:val="003D735A"/>
    <w:rsid w:val="003D73A1"/>
    <w:rsid w:val="003D7452"/>
    <w:rsid w:val="003D75E0"/>
    <w:rsid w:val="003D78EF"/>
    <w:rsid w:val="003D7C4F"/>
    <w:rsid w:val="003D7DDC"/>
    <w:rsid w:val="003D7F4F"/>
    <w:rsid w:val="003E14F8"/>
    <w:rsid w:val="003E2B31"/>
    <w:rsid w:val="003E3233"/>
    <w:rsid w:val="003E37E2"/>
    <w:rsid w:val="003E3FEB"/>
    <w:rsid w:val="003E41ED"/>
    <w:rsid w:val="003E4295"/>
    <w:rsid w:val="003E46B1"/>
    <w:rsid w:val="003E46FC"/>
    <w:rsid w:val="003E47A5"/>
    <w:rsid w:val="003E4B0D"/>
    <w:rsid w:val="003E5458"/>
    <w:rsid w:val="003E5F1D"/>
    <w:rsid w:val="003E5F7E"/>
    <w:rsid w:val="003E633C"/>
    <w:rsid w:val="003E645B"/>
    <w:rsid w:val="003E6580"/>
    <w:rsid w:val="003E6773"/>
    <w:rsid w:val="003E6963"/>
    <w:rsid w:val="003E6C82"/>
    <w:rsid w:val="003E6D38"/>
    <w:rsid w:val="003E78D1"/>
    <w:rsid w:val="003E79D2"/>
    <w:rsid w:val="003E7E1F"/>
    <w:rsid w:val="003E7E67"/>
    <w:rsid w:val="003E7F2D"/>
    <w:rsid w:val="003F04F5"/>
    <w:rsid w:val="003F0624"/>
    <w:rsid w:val="003F06EF"/>
    <w:rsid w:val="003F0940"/>
    <w:rsid w:val="003F09B8"/>
    <w:rsid w:val="003F0B5E"/>
    <w:rsid w:val="003F0C83"/>
    <w:rsid w:val="003F0CD5"/>
    <w:rsid w:val="003F14E5"/>
    <w:rsid w:val="003F1754"/>
    <w:rsid w:val="003F1992"/>
    <w:rsid w:val="003F1A10"/>
    <w:rsid w:val="003F21AC"/>
    <w:rsid w:val="003F2935"/>
    <w:rsid w:val="003F31D3"/>
    <w:rsid w:val="003F37D7"/>
    <w:rsid w:val="003F3F7A"/>
    <w:rsid w:val="003F426C"/>
    <w:rsid w:val="003F4935"/>
    <w:rsid w:val="003F4A4C"/>
    <w:rsid w:val="003F5C88"/>
    <w:rsid w:val="003F66F1"/>
    <w:rsid w:val="003F6DE8"/>
    <w:rsid w:val="003F7182"/>
    <w:rsid w:val="003F7B94"/>
    <w:rsid w:val="003F7F73"/>
    <w:rsid w:val="00400889"/>
    <w:rsid w:val="00400DE5"/>
    <w:rsid w:val="004022C7"/>
    <w:rsid w:val="00402695"/>
    <w:rsid w:val="0040274E"/>
    <w:rsid w:val="004028D3"/>
    <w:rsid w:val="004030A5"/>
    <w:rsid w:val="0040310E"/>
    <w:rsid w:val="0040317E"/>
    <w:rsid w:val="004036C4"/>
    <w:rsid w:val="00403901"/>
    <w:rsid w:val="004039EB"/>
    <w:rsid w:val="00403B39"/>
    <w:rsid w:val="00403EBF"/>
    <w:rsid w:val="00403F92"/>
    <w:rsid w:val="00404224"/>
    <w:rsid w:val="004042AD"/>
    <w:rsid w:val="00404BA7"/>
    <w:rsid w:val="004055D4"/>
    <w:rsid w:val="00405762"/>
    <w:rsid w:val="0040626A"/>
    <w:rsid w:val="00406284"/>
    <w:rsid w:val="004069AB"/>
    <w:rsid w:val="00406C5E"/>
    <w:rsid w:val="00407059"/>
    <w:rsid w:val="0040718B"/>
    <w:rsid w:val="004072F1"/>
    <w:rsid w:val="00407349"/>
    <w:rsid w:val="004073FF"/>
    <w:rsid w:val="00407C3B"/>
    <w:rsid w:val="00407FF3"/>
    <w:rsid w:val="00410E91"/>
    <w:rsid w:val="00410F11"/>
    <w:rsid w:val="0041185D"/>
    <w:rsid w:val="00411E2C"/>
    <w:rsid w:val="004125CB"/>
    <w:rsid w:val="004128C5"/>
    <w:rsid w:val="00412A61"/>
    <w:rsid w:val="00412C70"/>
    <w:rsid w:val="00412CA6"/>
    <w:rsid w:val="00413272"/>
    <w:rsid w:val="00413624"/>
    <w:rsid w:val="00413974"/>
    <w:rsid w:val="00413DD1"/>
    <w:rsid w:val="004144EB"/>
    <w:rsid w:val="0041454C"/>
    <w:rsid w:val="00414632"/>
    <w:rsid w:val="00414C4E"/>
    <w:rsid w:val="00414D31"/>
    <w:rsid w:val="0041565D"/>
    <w:rsid w:val="00415948"/>
    <w:rsid w:val="00415DA7"/>
    <w:rsid w:val="00415E32"/>
    <w:rsid w:val="004164A1"/>
    <w:rsid w:val="00417877"/>
    <w:rsid w:val="00417AF5"/>
    <w:rsid w:val="00420087"/>
    <w:rsid w:val="004204B9"/>
    <w:rsid w:val="004204FE"/>
    <w:rsid w:val="00420547"/>
    <w:rsid w:val="00420D9D"/>
    <w:rsid w:val="00421EAB"/>
    <w:rsid w:val="00421F29"/>
    <w:rsid w:val="004226AD"/>
    <w:rsid w:val="00422EE9"/>
    <w:rsid w:val="0042320D"/>
    <w:rsid w:val="00423521"/>
    <w:rsid w:val="0042353B"/>
    <w:rsid w:val="004236A8"/>
    <w:rsid w:val="004242D9"/>
    <w:rsid w:val="004247A7"/>
    <w:rsid w:val="00425495"/>
    <w:rsid w:val="00425583"/>
    <w:rsid w:val="00425AE3"/>
    <w:rsid w:val="004267F2"/>
    <w:rsid w:val="00426E09"/>
    <w:rsid w:val="00427006"/>
    <w:rsid w:val="00427008"/>
    <w:rsid w:val="00427246"/>
    <w:rsid w:val="00427D55"/>
    <w:rsid w:val="00430087"/>
    <w:rsid w:val="0043019F"/>
    <w:rsid w:val="004301C1"/>
    <w:rsid w:val="0043020C"/>
    <w:rsid w:val="00430BF5"/>
    <w:rsid w:val="00430CB3"/>
    <w:rsid w:val="00430EBF"/>
    <w:rsid w:val="00430FB2"/>
    <w:rsid w:val="004310A7"/>
    <w:rsid w:val="004314B3"/>
    <w:rsid w:val="00431619"/>
    <w:rsid w:val="0043226B"/>
    <w:rsid w:val="0043250E"/>
    <w:rsid w:val="00432C36"/>
    <w:rsid w:val="00433317"/>
    <w:rsid w:val="004333EE"/>
    <w:rsid w:val="00433715"/>
    <w:rsid w:val="0043399A"/>
    <w:rsid w:val="00433AF5"/>
    <w:rsid w:val="00434168"/>
    <w:rsid w:val="004342C8"/>
    <w:rsid w:val="0043430E"/>
    <w:rsid w:val="004344A4"/>
    <w:rsid w:val="00434A64"/>
    <w:rsid w:val="00434A7A"/>
    <w:rsid w:val="00434AE6"/>
    <w:rsid w:val="004351EB"/>
    <w:rsid w:val="00435282"/>
    <w:rsid w:val="00435464"/>
    <w:rsid w:val="004354F0"/>
    <w:rsid w:val="00435A35"/>
    <w:rsid w:val="004362B8"/>
    <w:rsid w:val="00436763"/>
    <w:rsid w:val="004368B1"/>
    <w:rsid w:val="00436B0F"/>
    <w:rsid w:val="00436B2B"/>
    <w:rsid w:val="00436DE5"/>
    <w:rsid w:val="00436E5B"/>
    <w:rsid w:val="00436F42"/>
    <w:rsid w:val="0043740B"/>
    <w:rsid w:val="00437451"/>
    <w:rsid w:val="00437BA3"/>
    <w:rsid w:val="004407DF"/>
    <w:rsid w:val="00440A6F"/>
    <w:rsid w:val="00440AD4"/>
    <w:rsid w:val="00440BB6"/>
    <w:rsid w:val="004411A3"/>
    <w:rsid w:val="0044164C"/>
    <w:rsid w:val="00441C1A"/>
    <w:rsid w:val="00443045"/>
    <w:rsid w:val="004430F7"/>
    <w:rsid w:val="00443558"/>
    <w:rsid w:val="00443985"/>
    <w:rsid w:val="004439B1"/>
    <w:rsid w:val="004439C0"/>
    <w:rsid w:val="004441BA"/>
    <w:rsid w:val="00444488"/>
    <w:rsid w:val="00445355"/>
    <w:rsid w:val="004458B4"/>
    <w:rsid w:val="00445BDC"/>
    <w:rsid w:val="0044625C"/>
    <w:rsid w:val="0044699F"/>
    <w:rsid w:val="00446BB0"/>
    <w:rsid w:val="00446DA9"/>
    <w:rsid w:val="00447139"/>
    <w:rsid w:val="00447504"/>
    <w:rsid w:val="0044760F"/>
    <w:rsid w:val="0044799A"/>
    <w:rsid w:val="0045067D"/>
    <w:rsid w:val="00450729"/>
    <w:rsid w:val="00450908"/>
    <w:rsid w:val="00450E00"/>
    <w:rsid w:val="0045144A"/>
    <w:rsid w:val="00451515"/>
    <w:rsid w:val="00451586"/>
    <w:rsid w:val="00451FA9"/>
    <w:rsid w:val="00452B9B"/>
    <w:rsid w:val="00452F88"/>
    <w:rsid w:val="004537A1"/>
    <w:rsid w:val="00453D02"/>
    <w:rsid w:val="00453E4B"/>
    <w:rsid w:val="004540F5"/>
    <w:rsid w:val="004542EB"/>
    <w:rsid w:val="00454BE3"/>
    <w:rsid w:val="00454E75"/>
    <w:rsid w:val="0045566C"/>
    <w:rsid w:val="0045598E"/>
    <w:rsid w:val="00455B9F"/>
    <w:rsid w:val="00456F40"/>
    <w:rsid w:val="0045721F"/>
    <w:rsid w:val="0045749F"/>
    <w:rsid w:val="00457524"/>
    <w:rsid w:val="00457539"/>
    <w:rsid w:val="00457F14"/>
    <w:rsid w:val="0046044A"/>
    <w:rsid w:val="004606BA"/>
    <w:rsid w:val="004609BB"/>
    <w:rsid w:val="00460D4E"/>
    <w:rsid w:val="00460D88"/>
    <w:rsid w:val="00460FEC"/>
    <w:rsid w:val="00461227"/>
    <w:rsid w:val="00461EF6"/>
    <w:rsid w:val="004620FE"/>
    <w:rsid w:val="0046264C"/>
    <w:rsid w:val="0046305E"/>
    <w:rsid w:val="004630C5"/>
    <w:rsid w:val="004631E8"/>
    <w:rsid w:val="004632D1"/>
    <w:rsid w:val="00463A19"/>
    <w:rsid w:val="0046404C"/>
    <w:rsid w:val="00464756"/>
    <w:rsid w:val="00464929"/>
    <w:rsid w:val="004649A8"/>
    <w:rsid w:val="00464AF6"/>
    <w:rsid w:val="00464EFE"/>
    <w:rsid w:val="004651B5"/>
    <w:rsid w:val="004651B6"/>
    <w:rsid w:val="004651BE"/>
    <w:rsid w:val="004654A7"/>
    <w:rsid w:val="0046585A"/>
    <w:rsid w:val="00465946"/>
    <w:rsid w:val="00465C12"/>
    <w:rsid w:val="00465DC5"/>
    <w:rsid w:val="00465EEC"/>
    <w:rsid w:val="00467238"/>
    <w:rsid w:val="00467D18"/>
    <w:rsid w:val="00467F43"/>
    <w:rsid w:val="00467F76"/>
    <w:rsid w:val="00470142"/>
    <w:rsid w:val="00470508"/>
    <w:rsid w:val="00470610"/>
    <w:rsid w:val="004712DF"/>
    <w:rsid w:val="00471514"/>
    <w:rsid w:val="00471F0E"/>
    <w:rsid w:val="0047237E"/>
    <w:rsid w:val="00472C64"/>
    <w:rsid w:val="00472EE1"/>
    <w:rsid w:val="004734FD"/>
    <w:rsid w:val="004735FF"/>
    <w:rsid w:val="004736E5"/>
    <w:rsid w:val="004742F9"/>
    <w:rsid w:val="00474309"/>
    <w:rsid w:val="00474467"/>
    <w:rsid w:val="004746BF"/>
    <w:rsid w:val="004747F6"/>
    <w:rsid w:val="00474C0C"/>
    <w:rsid w:val="00474CE9"/>
    <w:rsid w:val="00475069"/>
    <w:rsid w:val="00475297"/>
    <w:rsid w:val="00475950"/>
    <w:rsid w:val="00475D30"/>
    <w:rsid w:val="00475E59"/>
    <w:rsid w:val="004760E5"/>
    <w:rsid w:val="0047630C"/>
    <w:rsid w:val="004764A3"/>
    <w:rsid w:val="00476FA6"/>
    <w:rsid w:val="00477396"/>
    <w:rsid w:val="00477882"/>
    <w:rsid w:val="00477CA7"/>
    <w:rsid w:val="00477E56"/>
    <w:rsid w:val="0048017B"/>
    <w:rsid w:val="004803C3"/>
    <w:rsid w:val="00480A63"/>
    <w:rsid w:val="00480FDB"/>
    <w:rsid w:val="0048127D"/>
    <w:rsid w:val="00481DF1"/>
    <w:rsid w:val="00482FB1"/>
    <w:rsid w:val="00483329"/>
    <w:rsid w:val="00483AE1"/>
    <w:rsid w:val="00483B62"/>
    <w:rsid w:val="00483DB7"/>
    <w:rsid w:val="0048420A"/>
    <w:rsid w:val="00484349"/>
    <w:rsid w:val="0048541B"/>
    <w:rsid w:val="004854DB"/>
    <w:rsid w:val="00485A21"/>
    <w:rsid w:val="00485E85"/>
    <w:rsid w:val="00485FB7"/>
    <w:rsid w:val="00485FD1"/>
    <w:rsid w:val="0048641D"/>
    <w:rsid w:val="0048726E"/>
    <w:rsid w:val="00487928"/>
    <w:rsid w:val="00487BFD"/>
    <w:rsid w:val="0049001B"/>
    <w:rsid w:val="00490931"/>
    <w:rsid w:val="00490DEC"/>
    <w:rsid w:val="004914B6"/>
    <w:rsid w:val="00491AAE"/>
    <w:rsid w:val="0049245B"/>
    <w:rsid w:val="0049253B"/>
    <w:rsid w:val="00492685"/>
    <w:rsid w:val="004926FE"/>
    <w:rsid w:val="00492E93"/>
    <w:rsid w:val="00493671"/>
    <w:rsid w:val="0049432B"/>
    <w:rsid w:val="004945E9"/>
    <w:rsid w:val="004947D8"/>
    <w:rsid w:val="004947F2"/>
    <w:rsid w:val="00494F79"/>
    <w:rsid w:val="00494FD0"/>
    <w:rsid w:val="00495158"/>
    <w:rsid w:val="004952B3"/>
    <w:rsid w:val="004953F7"/>
    <w:rsid w:val="0049556F"/>
    <w:rsid w:val="0049563F"/>
    <w:rsid w:val="00495ABA"/>
    <w:rsid w:val="00495DCC"/>
    <w:rsid w:val="0049616B"/>
    <w:rsid w:val="00496642"/>
    <w:rsid w:val="004969D1"/>
    <w:rsid w:val="00496A6C"/>
    <w:rsid w:val="00496A9E"/>
    <w:rsid w:val="00496B25"/>
    <w:rsid w:val="00496E9C"/>
    <w:rsid w:val="00496EDA"/>
    <w:rsid w:val="00496EF9"/>
    <w:rsid w:val="004970D4"/>
    <w:rsid w:val="004975EB"/>
    <w:rsid w:val="00497980"/>
    <w:rsid w:val="00497C8E"/>
    <w:rsid w:val="004A0B48"/>
    <w:rsid w:val="004A0CA0"/>
    <w:rsid w:val="004A12E8"/>
    <w:rsid w:val="004A1494"/>
    <w:rsid w:val="004A1991"/>
    <w:rsid w:val="004A1AD8"/>
    <w:rsid w:val="004A1DF4"/>
    <w:rsid w:val="004A2822"/>
    <w:rsid w:val="004A29E1"/>
    <w:rsid w:val="004A2DEA"/>
    <w:rsid w:val="004A30B3"/>
    <w:rsid w:val="004A34CD"/>
    <w:rsid w:val="004A3663"/>
    <w:rsid w:val="004A45F8"/>
    <w:rsid w:val="004A47C1"/>
    <w:rsid w:val="004A4A90"/>
    <w:rsid w:val="004A5531"/>
    <w:rsid w:val="004A5AA7"/>
    <w:rsid w:val="004A5D11"/>
    <w:rsid w:val="004A5E7F"/>
    <w:rsid w:val="004A642D"/>
    <w:rsid w:val="004A6CFC"/>
    <w:rsid w:val="004A6E0B"/>
    <w:rsid w:val="004A6EC8"/>
    <w:rsid w:val="004A7010"/>
    <w:rsid w:val="004A7EB0"/>
    <w:rsid w:val="004B01DB"/>
    <w:rsid w:val="004B03AC"/>
    <w:rsid w:val="004B098E"/>
    <w:rsid w:val="004B0D76"/>
    <w:rsid w:val="004B1231"/>
    <w:rsid w:val="004B178A"/>
    <w:rsid w:val="004B185C"/>
    <w:rsid w:val="004B192D"/>
    <w:rsid w:val="004B1CD5"/>
    <w:rsid w:val="004B1E4B"/>
    <w:rsid w:val="004B2070"/>
    <w:rsid w:val="004B21B0"/>
    <w:rsid w:val="004B2473"/>
    <w:rsid w:val="004B2F1B"/>
    <w:rsid w:val="004B2FC0"/>
    <w:rsid w:val="004B2FC8"/>
    <w:rsid w:val="004B3314"/>
    <w:rsid w:val="004B39BA"/>
    <w:rsid w:val="004B3B50"/>
    <w:rsid w:val="004B3E61"/>
    <w:rsid w:val="004B3F8B"/>
    <w:rsid w:val="004B418A"/>
    <w:rsid w:val="004B440E"/>
    <w:rsid w:val="004B4541"/>
    <w:rsid w:val="004B46F9"/>
    <w:rsid w:val="004B4BC6"/>
    <w:rsid w:val="004B5007"/>
    <w:rsid w:val="004B51BA"/>
    <w:rsid w:val="004B5B51"/>
    <w:rsid w:val="004B5EFC"/>
    <w:rsid w:val="004B60A9"/>
    <w:rsid w:val="004B6184"/>
    <w:rsid w:val="004B6A7E"/>
    <w:rsid w:val="004B6E60"/>
    <w:rsid w:val="004B6F70"/>
    <w:rsid w:val="004B7342"/>
    <w:rsid w:val="004B76C6"/>
    <w:rsid w:val="004B79F9"/>
    <w:rsid w:val="004B7B8A"/>
    <w:rsid w:val="004B7DF8"/>
    <w:rsid w:val="004B7E99"/>
    <w:rsid w:val="004C0766"/>
    <w:rsid w:val="004C08CC"/>
    <w:rsid w:val="004C1030"/>
    <w:rsid w:val="004C1071"/>
    <w:rsid w:val="004C1107"/>
    <w:rsid w:val="004C1240"/>
    <w:rsid w:val="004C1385"/>
    <w:rsid w:val="004C139E"/>
    <w:rsid w:val="004C157B"/>
    <w:rsid w:val="004C1C68"/>
    <w:rsid w:val="004C347C"/>
    <w:rsid w:val="004C3DD7"/>
    <w:rsid w:val="004C42AF"/>
    <w:rsid w:val="004C479C"/>
    <w:rsid w:val="004C48BD"/>
    <w:rsid w:val="004C4F26"/>
    <w:rsid w:val="004C4F8F"/>
    <w:rsid w:val="004C54BB"/>
    <w:rsid w:val="004C55DB"/>
    <w:rsid w:val="004C5CEC"/>
    <w:rsid w:val="004C5D48"/>
    <w:rsid w:val="004C62A9"/>
    <w:rsid w:val="004C64D0"/>
    <w:rsid w:val="004C6A6C"/>
    <w:rsid w:val="004C6B11"/>
    <w:rsid w:val="004C6FD0"/>
    <w:rsid w:val="004C738A"/>
    <w:rsid w:val="004C7689"/>
    <w:rsid w:val="004D010B"/>
    <w:rsid w:val="004D0252"/>
    <w:rsid w:val="004D05D9"/>
    <w:rsid w:val="004D0EF7"/>
    <w:rsid w:val="004D12D3"/>
    <w:rsid w:val="004D15DE"/>
    <w:rsid w:val="004D208F"/>
    <w:rsid w:val="004D2186"/>
    <w:rsid w:val="004D245D"/>
    <w:rsid w:val="004D2535"/>
    <w:rsid w:val="004D2633"/>
    <w:rsid w:val="004D2694"/>
    <w:rsid w:val="004D27E9"/>
    <w:rsid w:val="004D289A"/>
    <w:rsid w:val="004D2CF4"/>
    <w:rsid w:val="004D2DAA"/>
    <w:rsid w:val="004D32FD"/>
    <w:rsid w:val="004D3797"/>
    <w:rsid w:val="004D3C53"/>
    <w:rsid w:val="004D3CC7"/>
    <w:rsid w:val="004D3FC3"/>
    <w:rsid w:val="004D4052"/>
    <w:rsid w:val="004D41DD"/>
    <w:rsid w:val="004D4362"/>
    <w:rsid w:val="004D4807"/>
    <w:rsid w:val="004D4F80"/>
    <w:rsid w:val="004D518F"/>
    <w:rsid w:val="004D5618"/>
    <w:rsid w:val="004D599D"/>
    <w:rsid w:val="004D5C31"/>
    <w:rsid w:val="004D5ED4"/>
    <w:rsid w:val="004D642F"/>
    <w:rsid w:val="004D6B37"/>
    <w:rsid w:val="004D6C84"/>
    <w:rsid w:val="004D747F"/>
    <w:rsid w:val="004D7AA1"/>
    <w:rsid w:val="004E043D"/>
    <w:rsid w:val="004E06BC"/>
    <w:rsid w:val="004E0F9D"/>
    <w:rsid w:val="004E154E"/>
    <w:rsid w:val="004E158C"/>
    <w:rsid w:val="004E1B7D"/>
    <w:rsid w:val="004E1C9C"/>
    <w:rsid w:val="004E1F8F"/>
    <w:rsid w:val="004E2406"/>
    <w:rsid w:val="004E2866"/>
    <w:rsid w:val="004E2B99"/>
    <w:rsid w:val="004E2D22"/>
    <w:rsid w:val="004E2F30"/>
    <w:rsid w:val="004E36F4"/>
    <w:rsid w:val="004E3C23"/>
    <w:rsid w:val="004E3D66"/>
    <w:rsid w:val="004E4434"/>
    <w:rsid w:val="004E491F"/>
    <w:rsid w:val="004E4AB9"/>
    <w:rsid w:val="004E4CBE"/>
    <w:rsid w:val="004E5BC6"/>
    <w:rsid w:val="004E5CEA"/>
    <w:rsid w:val="004E5F6B"/>
    <w:rsid w:val="004E65BF"/>
    <w:rsid w:val="004E698D"/>
    <w:rsid w:val="004E6BA8"/>
    <w:rsid w:val="004F03AB"/>
    <w:rsid w:val="004F0840"/>
    <w:rsid w:val="004F0979"/>
    <w:rsid w:val="004F1140"/>
    <w:rsid w:val="004F15D3"/>
    <w:rsid w:val="004F176F"/>
    <w:rsid w:val="004F178D"/>
    <w:rsid w:val="004F1828"/>
    <w:rsid w:val="004F1999"/>
    <w:rsid w:val="004F2119"/>
    <w:rsid w:val="004F223A"/>
    <w:rsid w:val="004F23CB"/>
    <w:rsid w:val="004F293F"/>
    <w:rsid w:val="004F3549"/>
    <w:rsid w:val="004F3682"/>
    <w:rsid w:val="004F3765"/>
    <w:rsid w:val="004F3A50"/>
    <w:rsid w:val="004F3DA0"/>
    <w:rsid w:val="004F4249"/>
    <w:rsid w:val="004F46D8"/>
    <w:rsid w:val="004F4B0E"/>
    <w:rsid w:val="004F4C0A"/>
    <w:rsid w:val="004F4D2F"/>
    <w:rsid w:val="004F547D"/>
    <w:rsid w:val="004F58DC"/>
    <w:rsid w:val="004F61B4"/>
    <w:rsid w:val="004F64A6"/>
    <w:rsid w:val="004F6A9C"/>
    <w:rsid w:val="004F6B8E"/>
    <w:rsid w:val="004F7243"/>
    <w:rsid w:val="004F724E"/>
    <w:rsid w:val="004F72A2"/>
    <w:rsid w:val="004F72FE"/>
    <w:rsid w:val="004F754D"/>
    <w:rsid w:val="004F7E02"/>
    <w:rsid w:val="004F7E27"/>
    <w:rsid w:val="00500049"/>
    <w:rsid w:val="00500089"/>
    <w:rsid w:val="005003B3"/>
    <w:rsid w:val="00500404"/>
    <w:rsid w:val="00500502"/>
    <w:rsid w:val="00500A53"/>
    <w:rsid w:val="00501FD3"/>
    <w:rsid w:val="005028C5"/>
    <w:rsid w:val="00502AFB"/>
    <w:rsid w:val="0050375F"/>
    <w:rsid w:val="00503AEB"/>
    <w:rsid w:val="00503BC1"/>
    <w:rsid w:val="00503E92"/>
    <w:rsid w:val="00503FD7"/>
    <w:rsid w:val="005040FB"/>
    <w:rsid w:val="0050467A"/>
    <w:rsid w:val="00504B13"/>
    <w:rsid w:val="00504B79"/>
    <w:rsid w:val="00504F85"/>
    <w:rsid w:val="005050DD"/>
    <w:rsid w:val="005053E0"/>
    <w:rsid w:val="0050599F"/>
    <w:rsid w:val="00505BD6"/>
    <w:rsid w:val="00506580"/>
    <w:rsid w:val="00506818"/>
    <w:rsid w:val="00506A40"/>
    <w:rsid w:val="00506E05"/>
    <w:rsid w:val="00507023"/>
    <w:rsid w:val="005070DB"/>
    <w:rsid w:val="00507796"/>
    <w:rsid w:val="00510E93"/>
    <w:rsid w:val="00510FD7"/>
    <w:rsid w:val="0051112D"/>
    <w:rsid w:val="005112DC"/>
    <w:rsid w:val="005114EC"/>
    <w:rsid w:val="00511AF6"/>
    <w:rsid w:val="00511DF2"/>
    <w:rsid w:val="00511F5D"/>
    <w:rsid w:val="00512068"/>
    <w:rsid w:val="00512D93"/>
    <w:rsid w:val="0051360C"/>
    <w:rsid w:val="0051375A"/>
    <w:rsid w:val="0051389D"/>
    <w:rsid w:val="00513997"/>
    <w:rsid w:val="00513BC0"/>
    <w:rsid w:val="005143CF"/>
    <w:rsid w:val="00514AD3"/>
    <w:rsid w:val="00514C66"/>
    <w:rsid w:val="00514E52"/>
    <w:rsid w:val="00514FE1"/>
    <w:rsid w:val="00515836"/>
    <w:rsid w:val="005158F1"/>
    <w:rsid w:val="00515A69"/>
    <w:rsid w:val="00515F92"/>
    <w:rsid w:val="005164B9"/>
    <w:rsid w:val="00516F50"/>
    <w:rsid w:val="00517268"/>
    <w:rsid w:val="00517D72"/>
    <w:rsid w:val="00517EF6"/>
    <w:rsid w:val="00520043"/>
    <w:rsid w:val="005204E1"/>
    <w:rsid w:val="00520B4E"/>
    <w:rsid w:val="00520B85"/>
    <w:rsid w:val="00520CC5"/>
    <w:rsid w:val="005210FC"/>
    <w:rsid w:val="00521110"/>
    <w:rsid w:val="00521731"/>
    <w:rsid w:val="005217F5"/>
    <w:rsid w:val="005217F6"/>
    <w:rsid w:val="00521A68"/>
    <w:rsid w:val="00521A8A"/>
    <w:rsid w:val="00521BCC"/>
    <w:rsid w:val="005222FB"/>
    <w:rsid w:val="0052340F"/>
    <w:rsid w:val="005238A6"/>
    <w:rsid w:val="005239D6"/>
    <w:rsid w:val="00524420"/>
    <w:rsid w:val="0052445B"/>
    <w:rsid w:val="00524773"/>
    <w:rsid w:val="00524A92"/>
    <w:rsid w:val="00524AFE"/>
    <w:rsid w:val="00524DB5"/>
    <w:rsid w:val="005258C6"/>
    <w:rsid w:val="00525C0A"/>
    <w:rsid w:val="00525FCD"/>
    <w:rsid w:val="00526296"/>
    <w:rsid w:val="005264C4"/>
    <w:rsid w:val="00526506"/>
    <w:rsid w:val="00526541"/>
    <w:rsid w:val="00526BB7"/>
    <w:rsid w:val="00526CD9"/>
    <w:rsid w:val="00526CEC"/>
    <w:rsid w:val="0052756A"/>
    <w:rsid w:val="005279B7"/>
    <w:rsid w:val="00527B15"/>
    <w:rsid w:val="00527C32"/>
    <w:rsid w:val="00527C88"/>
    <w:rsid w:val="00527CC2"/>
    <w:rsid w:val="00527E45"/>
    <w:rsid w:val="00530066"/>
    <w:rsid w:val="005301E5"/>
    <w:rsid w:val="005302FD"/>
    <w:rsid w:val="005305E1"/>
    <w:rsid w:val="005306B9"/>
    <w:rsid w:val="005308CA"/>
    <w:rsid w:val="00530939"/>
    <w:rsid w:val="005318BC"/>
    <w:rsid w:val="00531FA9"/>
    <w:rsid w:val="00532199"/>
    <w:rsid w:val="0053273C"/>
    <w:rsid w:val="00532744"/>
    <w:rsid w:val="00532D8B"/>
    <w:rsid w:val="00532E60"/>
    <w:rsid w:val="00532F1F"/>
    <w:rsid w:val="0053345B"/>
    <w:rsid w:val="00533477"/>
    <w:rsid w:val="005338F2"/>
    <w:rsid w:val="00533933"/>
    <w:rsid w:val="00534217"/>
    <w:rsid w:val="005343D5"/>
    <w:rsid w:val="0053446A"/>
    <w:rsid w:val="0053491B"/>
    <w:rsid w:val="00535095"/>
    <w:rsid w:val="00535155"/>
    <w:rsid w:val="005352A5"/>
    <w:rsid w:val="00535451"/>
    <w:rsid w:val="00535912"/>
    <w:rsid w:val="00535A9E"/>
    <w:rsid w:val="005361A5"/>
    <w:rsid w:val="00536DCE"/>
    <w:rsid w:val="00537DBA"/>
    <w:rsid w:val="00540052"/>
    <w:rsid w:val="005409AD"/>
    <w:rsid w:val="00540C32"/>
    <w:rsid w:val="00540CD4"/>
    <w:rsid w:val="00540E10"/>
    <w:rsid w:val="00541622"/>
    <w:rsid w:val="00542879"/>
    <w:rsid w:val="005428FF"/>
    <w:rsid w:val="00542DB2"/>
    <w:rsid w:val="005433B9"/>
    <w:rsid w:val="005433C1"/>
    <w:rsid w:val="005433E8"/>
    <w:rsid w:val="00543626"/>
    <w:rsid w:val="005437E2"/>
    <w:rsid w:val="005438A9"/>
    <w:rsid w:val="00543C3F"/>
    <w:rsid w:val="005446DF"/>
    <w:rsid w:val="005446F3"/>
    <w:rsid w:val="005452C3"/>
    <w:rsid w:val="00545482"/>
    <w:rsid w:val="005454BE"/>
    <w:rsid w:val="00545E0F"/>
    <w:rsid w:val="005467D2"/>
    <w:rsid w:val="00546C03"/>
    <w:rsid w:val="00547552"/>
    <w:rsid w:val="00547777"/>
    <w:rsid w:val="00547A11"/>
    <w:rsid w:val="005501EA"/>
    <w:rsid w:val="005507DE"/>
    <w:rsid w:val="00550BA9"/>
    <w:rsid w:val="005511B3"/>
    <w:rsid w:val="005512FE"/>
    <w:rsid w:val="00551332"/>
    <w:rsid w:val="005517C6"/>
    <w:rsid w:val="005518D1"/>
    <w:rsid w:val="00551916"/>
    <w:rsid w:val="00552325"/>
    <w:rsid w:val="00552946"/>
    <w:rsid w:val="00552A63"/>
    <w:rsid w:val="00552AB5"/>
    <w:rsid w:val="00552DDD"/>
    <w:rsid w:val="00553057"/>
    <w:rsid w:val="005533BD"/>
    <w:rsid w:val="005534BA"/>
    <w:rsid w:val="00553A5D"/>
    <w:rsid w:val="00554277"/>
    <w:rsid w:val="0055433F"/>
    <w:rsid w:val="0055498E"/>
    <w:rsid w:val="00554AE2"/>
    <w:rsid w:val="00554CE5"/>
    <w:rsid w:val="00555048"/>
    <w:rsid w:val="0055524E"/>
    <w:rsid w:val="00555AD7"/>
    <w:rsid w:val="00556168"/>
    <w:rsid w:val="0055636E"/>
    <w:rsid w:val="00557072"/>
    <w:rsid w:val="00557736"/>
    <w:rsid w:val="00557B8B"/>
    <w:rsid w:val="00557E81"/>
    <w:rsid w:val="005601CD"/>
    <w:rsid w:val="005605A7"/>
    <w:rsid w:val="0056066E"/>
    <w:rsid w:val="005606A4"/>
    <w:rsid w:val="0056080C"/>
    <w:rsid w:val="00560A29"/>
    <w:rsid w:val="00560F28"/>
    <w:rsid w:val="0056134C"/>
    <w:rsid w:val="00561470"/>
    <w:rsid w:val="005618B0"/>
    <w:rsid w:val="005625BD"/>
    <w:rsid w:val="00562929"/>
    <w:rsid w:val="00562B6E"/>
    <w:rsid w:val="00562E8B"/>
    <w:rsid w:val="005635BB"/>
    <w:rsid w:val="005635FF"/>
    <w:rsid w:val="00563C6A"/>
    <w:rsid w:val="00563FE0"/>
    <w:rsid w:val="00563FFE"/>
    <w:rsid w:val="00564590"/>
    <w:rsid w:val="0056484F"/>
    <w:rsid w:val="00564930"/>
    <w:rsid w:val="00564BD1"/>
    <w:rsid w:val="00564CCB"/>
    <w:rsid w:val="00564E86"/>
    <w:rsid w:val="005654E2"/>
    <w:rsid w:val="0056588D"/>
    <w:rsid w:val="005663DB"/>
    <w:rsid w:val="005665AC"/>
    <w:rsid w:val="005669B5"/>
    <w:rsid w:val="00566F4E"/>
    <w:rsid w:val="00567009"/>
    <w:rsid w:val="005672FD"/>
    <w:rsid w:val="00567AE0"/>
    <w:rsid w:val="005703BE"/>
    <w:rsid w:val="005707B3"/>
    <w:rsid w:val="0057087C"/>
    <w:rsid w:val="00570A25"/>
    <w:rsid w:val="00570F18"/>
    <w:rsid w:val="00571696"/>
    <w:rsid w:val="00571781"/>
    <w:rsid w:val="005718CA"/>
    <w:rsid w:val="00571D16"/>
    <w:rsid w:val="00571EB0"/>
    <w:rsid w:val="00571F27"/>
    <w:rsid w:val="0057253C"/>
    <w:rsid w:val="00572DB8"/>
    <w:rsid w:val="005733E5"/>
    <w:rsid w:val="00573498"/>
    <w:rsid w:val="0057368E"/>
    <w:rsid w:val="005736AE"/>
    <w:rsid w:val="00573F00"/>
    <w:rsid w:val="00574374"/>
    <w:rsid w:val="00574436"/>
    <w:rsid w:val="00574492"/>
    <w:rsid w:val="00574AD6"/>
    <w:rsid w:val="00575E78"/>
    <w:rsid w:val="0057634E"/>
    <w:rsid w:val="0057645C"/>
    <w:rsid w:val="00576886"/>
    <w:rsid w:val="00576A3E"/>
    <w:rsid w:val="005770C4"/>
    <w:rsid w:val="00577451"/>
    <w:rsid w:val="0057754C"/>
    <w:rsid w:val="00577BC9"/>
    <w:rsid w:val="005801AF"/>
    <w:rsid w:val="00580690"/>
    <w:rsid w:val="005808CB"/>
    <w:rsid w:val="005811E0"/>
    <w:rsid w:val="00581320"/>
    <w:rsid w:val="005816F6"/>
    <w:rsid w:val="005818B4"/>
    <w:rsid w:val="00582277"/>
    <w:rsid w:val="00582844"/>
    <w:rsid w:val="00582A68"/>
    <w:rsid w:val="00582AFC"/>
    <w:rsid w:val="00582BB7"/>
    <w:rsid w:val="00582FA8"/>
    <w:rsid w:val="00583549"/>
    <w:rsid w:val="005837D2"/>
    <w:rsid w:val="0058385C"/>
    <w:rsid w:val="00583A2A"/>
    <w:rsid w:val="00583AD2"/>
    <w:rsid w:val="00583B50"/>
    <w:rsid w:val="00583E0C"/>
    <w:rsid w:val="0058482C"/>
    <w:rsid w:val="005858FE"/>
    <w:rsid w:val="00585B3B"/>
    <w:rsid w:val="00586288"/>
    <w:rsid w:val="005863F5"/>
    <w:rsid w:val="005864BD"/>
    <w:rsid w:val="005864EC"/>
    <w:rsid w:val="00586602"/>
    <w:rsid w:val="005873F7"/>
    <w:rsid w:val="00587969"/>
    <w:rsid w:val="00587E7D"/>
    <w:rsid w:val="00587F45"/>
    <w:rsid w:val="00590421"/>
    <w:rsid w:val="0059076E"/>
    <w:rsid w:val="0059078B"/>
    <w:rsid w:val="005908D8"/>
    <w:rsid w:val="00590927"/>
    <w:rsid w:val="005913C1"/>
    <w:rsid w:val="0059234B"/>
    <w:rsid w:val="00592546"/>
    <w:rsid w:val="00593084"/>
    <w:rsid w:val="005930EF"/>
    <w:rsid w:val="00593168"/>
    <w:rsid w:val="00593397"/>
    <w:rsid w:val="00593555"/>
    <w:rsid w:val="005937A1"/>
    <w:rsid w:val="00593A39"/>
    <w:rsid w:val="00594A84"/>
    <w:rsid w:val="005951B2"/>
    <w:rsid w:val="0059541D"/>
    <w:rsid w:val="00595572"/>
    <w:rsid w:val="005955DF"/>
    <w:rsid w:val="0059584A"/>
    <w:rsid w:val="005959E0"/>
    <w:rsid w:val="00595C9A"/>
    <w:rsid w:val="005964B3"/>
    <w:rsid w:val="00596D60"/>
    <w:rsid w:val="0059706D"/>
    <w:rsid w:val="0059780F"/>
    <w:rsid w:val="005A006B"/>
    <w:rsid w:val="005A052E"/>
    <w:rsid w:val="005A0F6C"/>
    <w:rsid w:val="005A0F7F"/>
    <w:rsid w:val="005A2961"/>
    <w:rsid w:val="005A2998"/>
    <w:rsid w:val="005A2B2E"/>
    <w:rsid w:val="005A2B3A"/>
    <w:rsid w:val="005A2BEB"/>
    <w:rsid w:val="005A2D52"/>
    <w:rsid w:val="005A2DE2"/>
    <w:rsid w:val="005A3093"/>
    <w:rsid w:val="005A31A3"/>
    <w:rsid w:val="005A32DF"/>
    <w:rsid w:val="005A33CE"/>
    <w:rsid w:val="005A3EBC"/>
    <w:rsid w:val="005A3F43"/>
    <w:rsid w:val="005A3FA9"/>
    <w:rsid w:val="005A4861"/>
    <w:rsid w:val="005A4C7F"/>
    <w:rsid w:val="005A51BC"/>
    <w:rsid w:val="005A5850"/>
    <w:rsid w:val="005A5E3B"/>
    <w:rsid w:val="005A627C"/>
    <w:rsid w:val="005A628D"/>
    <w:rsid w:val="005A67A0"/>
    <w:rsid w:val="005A6DAD"/>
    <w:rsid w:val="005A7802"/>
    <w:rsid w:val="005A7D77"/>
    <w:rsid w:val="005B03E9"/>
    <w:rsid w:val="005B08ED"/>
    <w:rsid w:val="005B0A96"/>
    <w:rsid w:val="005B0D09"/>
    <w:rsid w:val="005B0D64"/>
    <w:rsid w:val="005B0E86"/>
    <w:rsid w:val="005B11DE"/>
    <w:rsid w:val="005B150A"/>
    <w:rsid w:val="005B1713"/>
    <w:rsid w:val="005B1E2F"/>
    <w:rsid w:val="005B23A9"/>
    <w:rsid w:val="005B2A6C"/>
    <w:rsid w:val="005B2BEF"/>
    <w:rsid w:val="005B2D4C"/>
    <w:rsid w:val="005B3496"/>
    <w:rsid w:val="005B3541"/>
    <w:rsid w:val="005B3613"/>
    <w:rsid w:val="005B3A92"/>
    <w:rsid w:val="005B3BE9"/>
    <w:rsid w:val="005B3D11"/>
    <w:rsid w:val="005B3E6D"/>
    <w:rsid w:val="005B417B"/>
    <w:rsid w:val="005B41DD"/>
    <w:rsid w:val="005B4726"/>
    <w:rsid w:val="005B5901"/>
    <w:rsid w:val="005B6072"/>
    <w:rsid w:val="005B627B"/>
    <w:rsid w:val="005B6659"/>
    <w:rsid w:val="005B72B4"/>
    <w:rsid w:val="005B75B6"/>
    <w:rsid w:val="005B78BA"/>
    <w:rsid w:val="005B7E59"/>
    <w:rsid w:val="005C0933"/>
    <w:rsid w:val="005C1BE4"/>
    <w:rsid w:val="005C1CC0"/>
    <w:rsid w:val="005C1ED2"/>
    <w:rsid w:val="005C22DF"/>
    <w:rsid w:val="005C271B"/>
    <w:rsid w:val="005C2CF4"/>
    <w:rsid w:val="005C2D3B"/>
    <w:rsid w:val="005C2D8F"/>
    <w:rsid w:val="005C2FF6"/>
    <w:rsid w:val="005C3395"/>
    <w:rsid w:val="005C3552"/>
    <w:rsid w:val="005C3D89"/>
    <w:rsid w:val="005C43BD"/>
    <w:rsid w:val="005C4A6D"/>
    <w:rsid w:val="005C5053"/>
    <w:rsid w:val="005C505C"/>
    <w:rsid w:val="005C5190"/>
    <w:rsid w:val="005C53FC"/>
    <w:rsid w:val="005C5917"/>
    <w:rsid w:val="005C5C51"/>
    <w:rsid w:val="005C5E39"/>
    <w:rsid w:val="005C5E92"/>
    <w:rsid w:val="005C5F60"/>
    <w:rsid w:val="005C648D"/>
    <w:rsid w:val="005C6DA6"/>
    <w:rsid w:val="005C7079"/>
    <w:rsid w:val="005C7452"/>
    <w:rsid w:val="005C7544"/>
    <w:rsid w:val="005C78A7"/>
    <w:rsid w:val="005C78C2"/>
    <w:rsid w:val="005D0010"/>
    <w:rsid w:val="005D0147"/>
    <w:rsid w:val="005D037A"/>
    <w:rsid w:val="005D03BF"/>
    <w:rsid w:val="005D08CB"/>
    <w:rsid w:val="005D0DDE"/>
    <w:rsid w:val="005D1119"/>
    <w:rsid w:val="005D140E"/>
    <w:rsid w:val="005D142E"/>
    <w:rsid w:val="005D1BCD"/>
    <w:rsid w:val="005D256B"/>
    <w:rsid w:val="005D2772"/>
    <w:rsid w:val="005D2A32"/>
    <w:rsid w:val="005D2E92"/>
    <w:rsid w:val="005D3028"/>
    <w:rsid w:val="005D3123"/>
    <w:rsid w:val="005D3BF6"/>
    <w:rsid w:val="005D3CCF"/>
    <w:rsid w:val="005D3D46"/>
    <w:rsid w:val="005D3ED6"/>
    <w:rsid w:val="005D3F2F"/>
    <w:rsid w:val="005D4052"/>
    <w:rsid w:val="005D40A4"/>
    <w:rsid w:val="005D433E"/>
    <w:rsid w:val="005D43F7"/>
    <w:rsid w:val="005D44A1"/>
    <w:rsid w:val="005D4FE0"/>
    <w:rsid w:val="005D55D1"/>
    <w:rsid w:val="005D591F"/>
    <w:rsid w:val="005D5D40"/>
    <w:rsid w:val="005D5DB5"/>
    <w:rsid w:val="005D614D"/>
    <w:rsid w:val="005D672B"/>
    <w:rsid w:val="005D677F"/>
    <w:rsid w:val="005D679E"/>
    <w:rsid w:val="005D6A79"/>
    <w:rsid w:val="005D6A89"/>
    <w:rsid w:val="005D6F25"/>
    <w:rsid w:val="005D780D"/>
    <w:rsid w:val="005D7B1B"/>
    <w:rsid w:val="005D7C13"/>
    <w:rsid w:val="005D7C72"/>
    <w:rsid w:val="005D7D80"/>
    <w:rsid w:val="005E013C"/>
    <w:rsid w:val="005E036A"/>
    <w:rsid w:val="005E082F"/>
    <w:rsid w:val="005E0843"/>
    <w:rsid w:val="005E0A64"/>
    <w:rsid w:val="005E102A"/>
    <w:rsid w:val="005E1484"/>
    <w:rsid w:val="005E1AA3"/>
    <w:rsid w:val="005E1E9D"/>
    <w:rsid w:val="005E203B"/>
    <w:rsid w:val="005E2248"/>
    <w:rsid w:val="005E28E2"/>
    <w:rsid w:val="005E2AC6"/>
    <w:rsid w:val="005E3ED9"/>
    <w:rsid w:val="005E415F"/>
    <w:rsid w:val="005E4C08"/>
    <w:rsid w:val="005E4EB8"/>
    <w:rsid w:val="005E51EF"/>
    <w:rsid w:val="005E556F"/>
    <w:rsid w:val="005E56A5"/>
    <w:rsid w:val="005E5806"/>
    <w:rsid w:val="005E5930"/>
    <w:rsid w:val="005E5E54"/>
    <w:rsid w:val="005E6448"/>
    <w:rsid w:val="005E6633"/>
    <w:rsid w:val="005E66C6"/>
    <w:rsid w:val="005E67CF"/>
    <w:rsid w:val="005E69E6"/>
    <w:rsid w:val="005E7237"/>
    <w:rsid w:val="005E7312"/>
    <w:rsid w:val="005E74BD"/>
    <w:rsid w:val="005F024A"/>
    <w:rsid w:val="005F06B9"/>
    <w:rsid w:val="005F0A2C"/>
    <w:rsid w:val="005F0B34"/>
    <w:rsid w:val="005F0B92"/>
    <w:rsid w:val="005F0C38"/>
    <w:rsid w:val="005F155C"/>
    <w:rsid w:val="005F1E70"/>
    <w:rsid w:val="005F1E90"/>
    <w:rsid w:val="005F2020"/>
    <w:rsid w:val="005F211E"/>
    <w:rsid w:val="005F2C28"/>
    <w:rsid w:val="005F2EB8"/>
    <w:rsid w:val="005F33D4"/>
    <w:rsid w:val="005F35F5"/>
    <w:rsid w:val="005F388D"/>
    <w:rsid w:val="005F3E17"/>
    <w:rsid w:val="005F4032"/>
    <w:rsid w:val="005F4CC9"/>
    <w:rsid w:val="005F4F8E"/>
    <w:rsid w:val="005F5060"/>
    <w:rsid w:val="005F50D5"/>
    <w:rsid w:val="005F5636"/>
    <w:rsid w:val="005F5B14"/>
    <w:rsid w:val="005F6F86"/>
    <w:rsid w:val="005F70C1"/>
    <w:rsid w:val="005F7302"/>
    <w:rsid w:val="005F797E"/>
    <w:rsid w:val="005F7A56"/>
    <w:rsid w:val="005F7E81"/>
    <w:rsid w:val="006000D2"/>
    <w:rsid w:val="00600BF0"/>
    <w:rsid w:val="00600F23"/>
    <w:rsid w:val="00601A29"/>
    <w:rsid w:val="00601ACB"/>
    <w:rsid w:val="00601BCF"/>
    <w:rsid w:val="00601E54"/>
    <w:rsid w:val="006024EF"/>
    <w:rsid w:val="006029D5"/>
    <w:rsid w:val="00602E43"/>
    <w:rsid w:val="00602F1E"/>
    <w:rsid w:val="00604431"/>
    <w:rsid w:val="00604521"/>
    <w:rsid w:val="0060461D"/>
    <w:rsid w:val="00604D8B"/>
    <w:rsid w:val="00604DA8"/>
    <w:rsid w:val="00605137"/>
    <w:rsid w:val="0060532C"/>
    <w:rsid w:val="00605977"/>
    <w:rsid w:val="00606B08"/>
    <w:rsid w:val="00606E1A"/>
    <w:rsid w:val="00606E67"/>
    <w:rsid w:val="00607180"/>
    <w:rsid w:val="006072D3"/>
    <w:rsid w:val="006074B1"/>
    <w:rsid w:val="006078CB"/>
    <w:rsid w:val="00607E48"/>
    <w:rsid w:val="00610378"/>
    <w:rsid w:val="00610649"/>
    <w:rsid w:val="00610C5D"/>
    <w:rsid w:val="006110A2"/>
    <w:rsid w:val="006112EB"/>
    <w:rsid w:val="0061158E"/>
    <w:rsid w:val="00611932"/>
    <w:rsid w:val="006120F6"/>
    <w:rsid w:val="0061237C"/>
    <w:rsid w:val="00612914"/>
    <w:rsid w:val="00612955"/>
    <w:rsid w:val="00612A59"/>
    <w:rsid w:val="00612FF2"/>
    <w:rsid w:val="006134D3"/>
    <w:rsid w:val="0061384A"/>
    <w:rsid w:val="0061391A"/>
    <w:rsid w:val="00614127"/>
    <w:rsid w:val="006143F2"/>
    <w:rsid w:val="00614799"/>
    <w:rsid w:val="00614998"/>
    <w:rsid w:val="006149BB"/>
    <w:rsid w:val="00615068"/>
    <w:rsid w:val="006158B7"/>
    <w:rsid w:val="00615FFC"/>
    <w:rsid w:val="0061618A"/>
    <w:rsid w:val="00616745"/>
    <w:rsid w:val="0061689A"/>
    <w:rsid w:val="00616F0C"/>
    <w:rsid w:val="006174D1"/>
    <w:rsid w:val="006178CE"/>
    <w:rsid w:val="00617C00"/>
    <w:rsid w:val="00617F4D"/>
    <w:rsid w:val="00617FE3"/>
    <w:rsid w:val="00620189"/>
    <w:rsid w:val="006202A0"/>
    <w:rsid w:val="006203AF"/>
    <w:rsid w:val="006206A0"/>
    <w:rsid w:val="00620D3E"/>
    <w:rsid w:val="00620DC1"/>
    <w:rsid w:val="00620FA9"/>
    <w:rsid w:val="0062122B"/>
    <w:rsid w:val="006215CD"/>
    <w:rsid w:val="00621C9F"/>
    <w:rsid w:val="00621D14"/>
    <w:rsid w:val="00622265"/>
    <w:rsid w:val="00622C07"/>
    <w:rsid w:val="0062377F"/>
    <w:rsid w:val="00623B86"/>
    <w:rsid w:val="006249BB"/>
    <w:rsid w:val="00624DD0"/>
    <w:rsid w:val="00624EAE"/>
    <w:rsid w:val="00624F92"/>
    <w:rsid w:val="00625142"/>
    <w:rsid w:val="00625AED"/>
    <w:rsid w:val="00626387"/>
    <w:rsid w:val="00626530"/>
    <w:rsid w:val="006267A1"/>
    <w:rsid w:val="00626BF4"/>
    <w:rsid w:val="00626C83"/>
    <w:rsid w:val="00626D27"/>
    <w:rsid w:val="00626D98"/>
    <w:rsid w:val="0062709A"/>
    <w:rsid w:val="00627B62"/>
    <w:rsid w:val="00627D15"/>
    <w:rsid w:val="00627D98"/>
    <w:rsid w:val="006307BC"/>
    <w:rsid w:val="00630C33"/>
    <w:rsid w:val="00630C6B"/>
    <w:rsid w:val="00630F1E"/>
    <w:rsid w:val="00630F2E"/>
    <w:rsid w:val="00632149"/>
    <w:rsid w:val="00632B98"/>
    <w:rsid w:val="00633210"/>
    <w:rsid w:val="0063378D"/>
    <w:rsid w:val="00633ABD"/>
    <w:rsid w:val="00633D56"/>
    <w:rsid w:val="00634772"/>
    <w:rsid w:val="006348CB"/>
    <w:rsid w:val="00634947"/>
    <w:rsid w:val="00634FF4"/>
    <w:rsid w:val="006350F1"/>
    <w:rsid w:val="00635A76"/>
    <w:rsid w:val="0063646F"/>
    <w:rsid w:val="00636480"/>
    <w:rsid w:val="00637316"/>
    <w:rsid w:val="00637477"/>
    <w:rsid w:val="006375DD"/>
    <w:rsid w:val="00637934"/>
    <w:rsid w:val="00637B90"/>
    <w:rsid w:val="00637BF0"/>
    <w:rsid w:val="00637CAC"/>
    <w:rsid w:val="00637D6C"/>
    <w:rsid w:val="00637DB6"/>
    <w:rsid w:val="00640693"/>
    <w:rsid w:val="006407BF"/>
    <w:rsid w:val="006408AB"/>
    <w:rsid w:val="00640F22"/>
    <w:rsid w:val="00641017"/>
    <w:rsid w:val="00641BF4"/>
    <w:rsid w:val="0064212B"/>
    <w:rsid w:val="006422A1"/>
    <w:rsid w:val="00642868"/>
    <w:rsid w:val="00642BF4"/>
    <w:rsid w:val="00642CA8"/>
    <w:rsid w:val="00642CAB"/>
    <w:rsid w:val="00643107"/>
    <w:rsid w:val="00643CD2"/>
    <w:rsid w:val="00643DAE"/>
    <w:rsid w:val="0064451D"/>
    <w:rsid w:val="00644577"/>
    <w:rsid w:val="0064497A"/>
    <w:rsid w:val="00644C32"/>
    <w:rsid w:val="00644F4B"/>
    <w:rsid w:val="00645125"/>
    <w:rsid w:val="00645C29"/>
    <w:rsid w:val="00646385"/>
    <w:rsid w:val="00646391"/>
    <w:rsid w:val="006465E1"/>
    <w:rsid w:val="00646A06"/>
    <w:rsid w:val="00647162"/>
    <w:rsid w:val="0064751C"/>
    <w:rsid w:val="00647683"/>
    <w:rsid w:val="00647FCC"/>
    <w:rsid w:val="00650543"/>
    <w:rsid w:val="006506D6"/>
    <w:rsid w:val="00650A16"/>
    <w:rsid w:val="0065156D"/>
    <w:rsid w:val="006518E5"/>
    <w:rsid w:val="00651B5B"/>
    <w:rsid w:val="006521B0"/>
    <w:rsid w:val="0065231B"/>
    <w:rsid w:val="006530DC"/>
    <w:rsid w:val="00653119"/>
    <w:rsid w:val="006531F5"/>
    <w:rsid w:val="00653592"/>
    <w:rsid w:val="00653EBC"/>
    <w:rsid w:val="0065433E"/>
    <w:rsid w:val="006545EB"/>
    <w:rsid w:val="006546A7"/>
    <w:rsid w:val="0065483C"/>
    <w:rsid w:val="00654A8B"/>
    <w:rsid w:val="006550DC"/>
    <w:rsid w:val="0065529F"/>
    <w:rsid w:val="00655A3C"/>
    <w:rsid w:val="00655CEB"/>
    <w:rsid w:val="00655DA6"/>
    <w:rsid w:val="00656405"/>
    <w:rsid w:val="00656432"/>
    <w:rsid w:val="00656A28"/>
    <w:rsid w:val="00656AB0"/>
    <w:rsid w:val="00656B97"/>
    <w:rsid w:val="00656F16"/>
    <w:rsid w:val="006578A7"/>
    <w:rsid w:val="00657A68"/>
    <w:rsid w:val="006608D5"/>
    <w:rsid w:val="00660B68"/>
    <w:rsid w:val="00660CC4"/>
    <w:rsid w:val="00660EAA"/>
    <w:rsid w:val="00660F5E"/>
    <w:rsid w:val="00661A47"/>
    <w:rsid w:val="00661A88"/>
    <w:rsid w:val="00661FAD"/>
    <w:rsid w:val="0066235B"/>
    <w:rsid w:val="00662C8B"/>
    <w:rsid w:val="0066319F"/>
    <w:rsid w:val="00663BB0"/>
    <w:rsid w:val="00663D15"/>
    <w:rsid w:val="006642EB"/>
    <w:rsid w:val="0066581D"/>
    <w:rsid w:val="00665D81"/>
    <w:rsid w:val="00666020"/>
    <w:rsid w:val="006663B2"/>
    <w:rsid w:val="006664FC"/>
    <w:rsid w:val="00666D68"/>
    <w:rsid w:val="00667AEF"/>
    <w:rsid w:val="006703AE"/>
    <w:rsid w:val="00670518"/>
    <w:rsid w:val="00670942"/>
    <w:rsid w:val="00670DD3"/>
    <w:rsid w:val="00670F3E"/>
    <w:rsid w:val="006711D5"/>
    <w:rsid w:val="00671520"/>
    <w:rsid w:val="006716B6"/>
    <w:rsid w:val="00671860"/>
    <w:rsid w:val="006718FD"/>
    <w:rsid w:val="00671A76"/>
    <w:rsid w:val="00671B8B"/>
    <w:rsid w:val="00671C09"/>
    <w:rsid w:val="006722B9"/>
    <w:rsid w:val="00672306"/>
    <w:rsid w:val="0067230C"/>
    <w:rsid w:val="0067355E"/>
    <w:rsid w:val="006737C5"/>
    <w:rsid w:val="00673F1C"/>
    <w:rsid w:val="006740AF"/>
    <w:rsid w:val="0067417B"/>
    <w:rsid w:val="006743EF"/>
    <w:rsid w:val="006744BB"/>
    <w:rsid w:val="00674934"/>
    <w:rsid w:val="006749C0"/>
    <w:rsid w:val="00674B6E"/>
    <w:rsid w:val="00674DE9"/>
    <w:rsid w:val="00674F25"/>
    <w:rsid w:val="006753C6"/>
    <w:rsid w:val="00675690"/>
    <w:rsid w:val="006756A8"/>
    <w:rsid w:val="0067595C"/>
    <w:rsid w:val="006761BA"/>
    <w:rsid w:val="0067628F"/>
    <w:rsid w:val="00676839"/>
    <w:rsid w:val="00676B67"/>
    <w:rsid w:val="00676BFF"/>
    <w:rsid w:val="0067795D"/>
    <w:rsid w:val="00677991"/>
    <w:rsid w:val="006804E2"/>
    <w:rsid w:val="00680A81"/>
    <w:rsid w:val="00680C17"/>
    <w:rsid w:val="006814C6"/>
    <w:rsid w:val="0068178F"/>
    <w:rsid w:val="00681CCB"/>
    <w:rsid w:val="00681D36"/>
    <w:rsid w:val="00682576"/>
    <w:rsid w:val="006825D7"/>
    <w:rsid w:val="00682846"/>
    <w:rsid w:val="00682AEF"/>
    <w:rsid w:val="00682BE4"/>
    <w:rsid w:val="0068335D"/>
    <w:rsid w:val="0068381C"/>
    <w:rsid w:val="00684078"/>
    <w:rsid w:val="00684922"/>
    <w:rsid w:val="0068518A"/>
    <w:rsid w:val="006857F3"/>
    <w:rsid w:val="00685979"/>
    <w:rsid w:val="00685EA8"/>
    <w:rsid w:val="00686327"/>
    <w:rsid w:val="0068689E"/>
    <w:rsid w:val="00686A93"/>
    <w:rsid w:val="00687014"/>
    <w:rsid w:val="006872B2"/>
    <w:rsid w:val="0068788A"/>
    <w:rsid w:val="00687B99"/>
    <w:rsid w:val="00687C2F"/>
    <w:rsid w:val="00687D33"/>
    <w:rsid w:val="006901F7"/>
    <w:rsid w:val="006902E8"/>
    <w:rsid w:val="00690658"/>
    <w:rsid w:val="00690C0B"/>
    <w:rsid w:val="00690D3A"/>
    <w:rsid w:val="00690F25"/>
    <w:rsid w:val="00692F2D"/>
    <w:rsid w:val="0069350D"/>
    <w:rsid w:val="0069352B"/>
    <w:rsid w:val="006935AF"/>
    <w:rsid w:val="00693B31"/>
    <w:rsid w:val="006944D9"/>
    <w:rsid w:val="006946A4"/>
    <w:rsid w:val="00694A97"/>
    <w:rsid w:val="00694EC8"/>
    <w:rsid w:val="0069506A"/>
    <w:rsid w:val="006950F9"/>
    <w:rsid w:val="00695622"/>
    <w:rsid w:val="00695BA6"/>
    <w:rsid w:val="00695CAF"/>
    <w:rsid w:val="00696137"/>
    <w:rsid w:val="006963F4"/>
    <w:rsid w:val="00696714"/>
    <w:rsid w:val="0069696D"/>
    <w:rsid w:val="00696BC3"/>
    <w:rsid w:val="00697037"/>
    <w:rsid w:val="00697F85"/>
    <w:rsid w:val="006A011B"/>
    <w:rsid w:val="006A0319"/>
    <w:rsid w:val="006A04F6"/>
    <w:rsid w:val="006A06EE"/>
    <w:rsid w:val="006A0746"/>
    <w:rsid w:val="006A0B09"/>
    <w:rsid w:val="006A0B78"/>
    <w:rsid w:val="006A0DD7"/>
    <w:rsid w:val="006A0F3F"/>
    <w:rsid w:val="006A1590"/>
    <w:rsid w:val="006A1B94"/>
    <w:rsid w:val="006A1BAC"/>
    <w:rsid w:val="006A1F3E"/>
    <w:rsid w:val="006A2761"/>
    <w:rsid w:val="006A2A3D"/>
    <w:rsid w:val="006A2D8C"/>
    <w:rsid w:val="006A3327"/>
    <w:rsid w:val="006A33D2"/>
    <w:rsid w:val="006A39E1"/>
    <w:rsid w:val="006A3B15"/>
    <w:rsid w:val="006A3BB6"/>
    <w:rsid w:val="006A3DAF"/>
    <w:rsid w:val="006A4072"/>
    <w:rsid w:val="006A41DA"/>
    <w:rsid w:val="006A4574"/>
    <w:rsid w:val="006A48C1"/>
    <w:rsid w:val="006A4A1B"/>
    <w:rsid w:val="006A4FD1"/>
    <w:rsid w:val="006A523B"/>
    <w:rsid w:val="006A527E"/>
    <w:rsid w:val="006A5912"/>
    <w:rsid w:val="006A62E1"/>
    <w:rsid w:val="006A62E6"/>
    <w:rsid w:val="006A6709"/>
    <w:rsid w:val="006A6E63"/>
    <w:rsid w:val="006A6E71"/>
    <w:rsid w:val="006A6EB7"/>
    <w:rsid w:val="006A79CD"/>
    <w:rsid w:val="006A7B02"/>
    <w:rsid w:val="006A7E46"/>
    <w:rsid w:val="006B0107"/>
    <w:rsid w:val="006B0168"/>
    <w:rsid w:val="006B0740"/>
    <w:rsid w:val="006B075D"/>
    <w:rsid w:val="006B0949"/>
    <w:rsid w:val="006B09DB"/>
    <w:rsid w:val="006B0AB3"/>
    <w:rsid w:val="006B0BD4"/>
    <w:rsid w:val="006B0EBB"/>
    <w:rsid w:val="006B2216"/>
    <w:rsid w:val="006B23F0"/>
    <w:rsid w:val="006B251F"/>
    <w:rsid w:val="006B2D1E"/>
    <w:rsid w:val="006B3F6D"/>
    <w:rsid w:val="006B42D1"/>
    <w:rsid w:val="006B43CF"/>
    <w:rsid w:val="006B47C0"/>
    <w:rsid w:val="006B47C3"/>
    <w:rsid w:val="006B4866"/>
    <w:rsid w:val="006B4C8E"/>
    <w:rsid w:val="006B4EB7"/>
    <w:rsid w:val="006B55F9"/>
    <w:rsid w:val="006B5E94"/>
    <w:rsid w:val="006B5F4E"/>
    <w:rsid w:val="006B64FC"/>
    <w:rsid w:val="006B663B"/>
    <w:rsid w:val="006B69F9"/>
    <w:rsid w:val="006B6F59"/>
    <w:rsid w:val="006B703E"/>
    <w:rsid w:val="006B7359"/>
    <w:rsid w:val="006B7E03"/>
    <w:rsid w:val="006B7F71"/>
    <w:rsid w:val="006C03FA"/>
    <w:rsid w:val="006C053C"/>
    <w:rsid w:val="006C07E8"/>
    <w:rsid w:val="006C0AD0"/>
    <w:rsid w:val="006C0B78"/>
    <w:rsid w:val="006C0FEF"/>
    <w:rsid w:val="006C1541"/>
    <w:rsid w:val="006C1DE4"/>
    <w:rsid w:val="006C24FA"/>
    <w:rsid w:val="006C2865"/>
    <w:rsid w:val="006C2CE3"/>
    <w:rsid w:val="006C2DB7"/>
    <w:rsid w:val="006C2F0D"/>
    <w:rsid w:val="006C2F62"/>
    <w:rsid w:val="006C3635"/>
    <w:rsid w:val="006C3772"/>
    <w:rsid w:val="006C3A5F"/>
    <w:rsid w:val="006C3B79"/>
    <w:rsid w:val="006C3BA2"/>
    <w:rsid w:val="006C42B8"/>
    <w:rsid w:val="006C4403"/>
    <w:rsid w:val="006C48B4"/>
    <w:rsid w:val="006C48C1"/>
    <w:rsid w:val="006C48EC"/>
    <w:rsid w:val="006C4A22"/>
    <w:rsid w:val="006C4B89"/>
    <w:rsid w:val="006C6090"/>
    <w:rsid w:val="006C618D"/>
    <w:rsid w:val="006C61E6"/>
    <w:rsid w:val="006C640C"/>
    <w:rsid w:val="006C67E2"/>
    <w:rsid w:val="006C6A0F"/>
    <w:rsid w:val="006C6A6F"/>
    <w:rsid w:val="006C752E"/>
    <w:rsid w:val="006C7DD0"/>
    <w:rsid w:val="006C7DE1"/>
    <w:rsid w:val="006D0688"/>
    <w:rsid w:val="006D1103"/>
    <w:rsid w:val="006D1B42"/>
    <w:rsid w:val="006D2423"/>
    <w:rsid w:val="006D25C6"/>
    <w:rsid w:val="006D2DCA"/>
    <w:rsid w:val="006D2E5D"/>
    <w:rsid w:val="006D358E"/>
    <w:rsid w:val="006D368E"/>
    <w:rsid w:val="006D4902"/>
    <w:rsid w:val="006D4BBA"/>
    <w:rsid w:val="006D517A"/>
    <w:rsid w:val="006D5662"/>
    <w:rsid w:val="006D5B67"/>
    <w:rsid w:val="006D5CD5"/>
    <w:rsid w:val="006D5D07"/>
    <w:rsid w:val="006D5FAF"/>
    <w:rsid w:val="006D60FE"/>
    <w:rsid w:val="006D6259"/>
    <w:rsid w:val="006D63FF"/>
    <w:rsid w:val="006D641D"/>
    <w:rsid w:val="006D6AAB"/>
    <w:rsid w:val="006D6AB6"/>
    <w:rsid w:val="006D70F3"/>
    <w:rsid w:val="006D7EE5"/>
    <w:rsid w:val="006D7FBF"/>
    <w:rsid w:val="006E0A74"/>
    <w:rsid w:val="006E0B35"/>
    <w:rsid w:val="006E0B47"/>
    <w:rsid w:val="006E0CEF"/>
    <w:rsid w:val="006E1B87"/>
    <w:rsid w:val="006E241A"/>
    <w:rsid w:val="006E299F"/>
    <w:rsid w:val="006E2AE9"/>
    <w:rsid w:val="006E2FD0"/>
    <w:rsid w:val="006E3371"/>
    <w:rsid w:val="006E3513"/>
    <w:rsid w:val="006E3B3B"/>
    <w:rsid w:val="006E3B4C"/>
    <w:rsid w:val="006E3C6E"/>
    <w:rsid w:val="006E3CAB"/>
    <w:rsid w:val="006E4323"/>
    <w:rsid w:val="006E44A6"/>
    <w:rsid w:val="006E5488"/>
    <w:rsid w:val="006E5CB8"/>
    <w:rsid w:val="006E5D1B"/>
    <w:rsid w:val="006E60A9"/>
    <w:rsid w:val="006E63E2"/>
    <w:rsid w:val="006E6878"/>
    <w:rsid w:val="006E6E4E"/>
    <w:rsid w:val="006E6E7B"/>
    <w:rsid w:val="006E726C"/>
    <w:rsid w:val="006E76C6"/>
    <w:rsid w:val="006E76E1"/>
    <w:rsid w:val="006E7AFA"/>
    <w:rsid w:val="006F05EA"/>
    <w:rsid w:val="006F0CB9"/>
    <w:rsid w:val="006F0FFB"/>
    <w:rsid w:val="006F1448"/>
    <w:rsid w:val="006F1711"/>
    <w:rsid w:val="006F182E"/>
    <w:rsid w:val="006F1AFD"/>
    <w:rsid w:val="006F1C22"/>
    <w:rsid w:val="006F21FA"/>
    <w:rsid w:val="006F255D"/>
    <w:rsid w:val="006F2780"/>
    <w:rsid w:val="006F2BE5"/>
    <w:rsid w:val="006F31EA"/>
    <w:rsid w:val="006F3265"/>
    <w:rsid w:val="006F32C6"/>
    <w:rsid w:val="006F3AAA"/>
    <w:rsid w:val="006F3BBC"/>
    <w:rsid w:val="006F3C40"/>
    <w:rsid w:val="006F3EEE"/>
    <w:rsid w:val="006F40A7"/>
    <w:rsid w:val="006F44CA"/>
    <w:rsid w:val="006F4565"/>
    <w:rsid w:val="006F4662"/>
    <w:rsid w:val="006F48E9"/>
    <w:rsid w:val="006F5402"/>
    <w:rsid w:val="006F56FB"/>
    <w:rsid w:val="006F5A31"/>
    <w:rsid w:val="006F5BAE"/>
    <w:rsid w:val="006F5BC8"/>
    <w:rsid w:val="006F6454"/>
    <w:rsid w:val="006F64C0"/>
    <w:rsid w:val="006F6CCD"/>
    <w:rsid w:val="006F6F76"/>
    <w:rsid w:val="006F6F86"/>
    <w:rsid w:val="006F74E6"/>
    <w:rsid w:val="006F7CA7"/>
    <w:rsid w:val="006F7F01"/>
    <w:rsid w:val="00700743"/>
    <w:rsid w:val="007008BD"/>
    <w:rsid w:val="00700A30"/>
    <w:rsid w:val="00701320"/>
    <w:rsid w:val="00701425"/>
    <w:rsid w:val="007015C5"/>
    <w:rsid w:val="0070220C"/>
    <w:rsid w:val="007025C6"/>
    <w:rsid w:val="00702C26"/>
    <w:rsid w:val="00702F70"/>
    <w:rsid w:val="0070331A"/>
    <w:rsid w:val="007035ED"/>
    <w:rsid w:val="00703827"/>
    <w:rsid w:val="007038FE"/>
    <w:rsid w:val="00703AD5"/>
    <w:rsid w:val="00703E08"/>
    <w:rsid w:val="00703EC7"/>
    <w:rsid w:val="007041CA"/>
    <w:rsid w:val="007047B0"/>
    <w:rsid w:val="00704DB7"/>
    <w:rsid w:val="007050D2"/>
    <w:rsid w:val="00706644"/>
    <w:rsid w:val="007067BA"/>
    <w:rsid w:val="00706AC3"/>
    <w:rsid w:val="00706E89"/>
    <w:rsid w:val="007077C1"/>
    <w:rsid w:val="007077C2"/>
    <w:rsid w:val="00710340"/>
    <w:rsid w:val="007103CC"/>
    <w:rsid w:val="0071079C"/>
    <w:rsid w:val="00710818"/>
    <w:rsid w:val="00710BD6"/>
    <w:rsid w:val="00711568"/>
    <w:rsid w:val="00711723"/>
    <w:rsid w:val="00711957"/>
    <w:rsid w:val="00711E52"/>
    <w:rsid w:val="0071227D"/>
    <w:rsid w:val="007122DC"/>
    <w:rsid w:val="00712740"/>
    <w:rsid w:val="00712C2B"/>
    <w:rsid w:val="0071331F"/>
    <w:rsid w:val="007134A2"/>
    <w:rsid w:val="0071368D"/>
    <w:rsid w:val="007137D0"/>
    <w:rsid w:val="00713821"/>
    <w:rsid w:val="00713867"/>
    <w:rsid w:val="00713949"/>
    <w:rsid w:val="007139F3"/>
    <w:rsid w:val="00713C43"/>
    <w:rsid w:val="00713EC4"/>
    <w:rsid w:val="0071456D"/>
    <w:rsid w:val="007146CF"/>
    <w:rsid w:val="00714FC1"/>
    <w:rsid w:val="007151A5"/>
    <w:rsid w:val="0071531F"/>
    <w:rsid w:val="00715594"/>
    <w:rsid w:val="00715B35"/>
    <w:rsid w:val="00715B90"/>
    <w:rsid w:val="00715BB6"/>
    <w:rsid w:val="00715CFF"/>
    <w:rsid w:val="00715D2A"/>
    <w:rsid w:val="00715D84"/>
    <w:rsid w:val="00716208"/>
    <w:rsid w:val="00716841"/>
    <w:rsid w:val="0071686C"/>
    <w:rsid w:val="00716B19"/>
    <w:rsid w:val="00716D21"/>
    <w:rsid w:val="00717920"/>
    <w:rsid w:val="00717EAE"/>
    <w:rsid w:val="00717F6F"/>
    <w:rsid w:val="007203C7"/>
    <w:rsid w:val="007211CA"/>
    <w:rsid w:val="007214D6"/>
    <w:rsid w:val="007216F2"/>
    <w:rsid w:val="0072224D"/>
    <w:rsid w:val="00722B8E"/>
    <w:rsid w:val="007231DF"/>
    <w:rsid w:val="007233CE"/>
    <w:rsid w:val="007233D7"/>
    <w:rsid w:val="00723499"/>
    <w:rsid w:val="00723897"/>
    <w:rsid w:val="00724049"/>
    <w:rsid w:val="00724395"/>
    <w:rsid w:val="007244D8"/>
    <w:rsid w:val="00725AF5"/>
    <w:rsid w:val="00725C89"/>
    <w:rsid w:val="00725EBF"/>
    <w:rsid w:val="007267B3"/>
    <w:rsid w:val="00727214"/>
    <w:rsid w:val="00727329"/>
    <w:rsid w:val="00727F1F"/>
    <w:rsid w:val="00730528"/>
    <w:rsid w:val="007305A1"/>
    <w:rsid w:val="00730910"/>
    <w:rsid w:val="00730AD3"/>
    <w:rsid w:val="00730FCD"/>
    <w:rsid w:val="00731656"/>
    <w:rsid w:val="00731A19"/>
    <w:rsid w:val="00731A88"/>
    <w:rsid w:val="00731AF3"/>
    <w:rsid w:val="00731E5C"/>
    <w:rsid w:val="00732F46"/>
    <w:rsid w:val="00733193"/>
    <w:rsid w:val="007339D6"/>
    <w:rsid w:val="00733A9B"/>
    <w:rsid w:val="0073424E"/>
    <w:rsid w:val="007342C0"/>
    <w:rsid w:val="0073431E"/>
    <w:rsid w:val="0073468A"/>
    <w:rsid w:val="0073477B"/>
    <w:rsid w:val="007347AD"/>
    <w:rsid w:val="00734C29"/>
    <w:rsid w:val="00735662"/>
    <w:rsid w:val="0073583A"/>
    <w:rsid w:val="00736702"/>
    <w:rsid w:val="007379A6"/>
    <w:rsid w:val="00737B58"/>
    <w:rsid w:val="00737D04"/>
    <w:rsid w:val="0074057D"/>
    <w:rsid w:val="0074075A"/>
    <w:rsid w:val="0074121B"/>
    <w:rsid w:val="007415FE"/>
    <w:rsid w:val="00741746"/>
    <w:rsid w:val="0074182D"/>
    <w:rsid w:val="00741B20"/>
    <w:rsid w:val="00741FD3"/>
    <w:rsid w:val="007420AB"/>
    <w:rsid w:val="00742143"/>
    <w:rsid w:val="007422D2"/>
    <w:rsid w:val="007423D2"/>
    <w:rsid w:val="00742683"/>
    <w:rsid w:val="00742A20"/>
    <w:rsid w:val="00742C40"/>
    <w:rsid w:val="00742F5A"/>
    <w:rsid w:val="00744292"/>
    <w:rsid w:val="0074448F"/>
    <w:rsid w:val="00744994"/>
    <w:rsid w:val="00744B44"/>
    <w:rsid w:val="007455DA"/>
    <w:rsid w:val="007458A5"/>
    <w:rsid w:val="00745901"/>
    <w:rsid w:val="00745DD4"/>
    <w:rsid w:val="00746079"/>
    <w:rsid w:val="00746299"/>
    <w:rsid w:val="00746581"/>
    <w:rsid w:val="00746886"/>
    <w:rsid w:val="0074799B"/>
    <w:rsid w:val="00750187"/>
    <w:rsid w:val="00750A15"/>
    <w:rsid w:val="00750A71"/>
    <w:rsid w:val="00750D3B"/>
    <w:rsid w:val="00751111"/>
    <w:rsid w:val="0075144A"/>
    <w:rsid w:val="007518E2"/>
    <w:rsid w:val="00751D6B"/>
    <w:rsid w:val="00751DE9"/>
    <w:rsid w:val="0075224D"/>
    <w:rsid w:val="00752568"/>
    <w:rsid w:val="00752750"/>
    <w:rsid w:val="00752A7C"/>
    <w:rsid w:val="00753045"/>
    <w:rsid w:val="00753956"/>
    <w:rsid w:val="00753C08"/>
    <w:rsid w:val="00753FF9"/>
    <w:rsid w:val="00754904"/>
    <w:rsid w:val="00754C63"/>
    <w:rsid w:val="00754DD5"/>
    <w:rsid w:val="00755436"/>
    <w:rsid w:val="007555FF"/>
    <w:rsid w:val="00755681"/>
    <w:rsid w:val="00755ADC"/>
    <w:rsid w:val="00755D50"/>
    <w:rsid w:val="00755F63"/>
    <w:rsid w:val="0075624A"/>
    <w:rsid w:val="00756401"/>
    <w:rsid w:val="007567EB"/>
    <w:rsid w:val="0075680D"/>
    <w:rsid w:val="00756A1A"/>
    <w:rsid w:val="00756F06"/>
    <w:rsid w:val="00757048"/>
    <w:rsid w:val="00757909"/>
    <w:rsid w:val="00757D0A"/>
    <w:rsid w:val="007602CA"/>
    <w:rsid w:val="00761474"/>
    <w:rsid w:val="0076159F"/>
    <w:rsid w:val="0076170E"/>
    <w:rsid w:val="0076191E"/>
    <w:rsid w:val="00761EB0"/>
    <w:rsid w:val="00761F9A"/>
    <w:rsid w:val="0076219D"/>
    <w:rsid w:val="007624E5"/>
    <w:rsid w:val="00762645"/>
    <w:rsid w:val="00763301"/>
    <w:rsid w:val="007633A7"/>
    <w:rsid w:val="007652DB"/>
    <w:rsid w:val="00765385"/>
    <w:rsid w:val="007659F3"/>
    <w:rsid w:val="00765B4D"/>
    <w:rsid w:val="00765C8F"/>
    <w:rsid w:val="00765EFA"/>
    <w:rsid w:val="00765F0B"/>
    <w:rsid w:val="007669A6"/>
    <w:rsid w:val="00767428"/>
    <w:rsid w:val="007678DB"/>
    <w:rsid w:val="0076792D"/>
    <w:rsid w:val="00767A6F"/>
    <w:rsid w:val="00767D7E"/>
    <w:rsid w:val="00770040"/>
    <w:rsid w:val="00770202"/>
    <w:rsid w:val="00770667"/>
    <w:rsid w:val="007708C5"/>
    <w:rsid w:val="00771892"/>
    <w:rsid w:val="00771A29"/>
    <w:rsid w:val="00771B3A"/>
    <w:rsid w:val="00771FAC"/>
    <w:rsid w:val="00772344"/>
    <w:rsid w:val="00772398"/>
    <w:rsid w:val="007724EB"/>
    <w:rsid w:val="00772751"/>
    <w:rsid w:val="007729D4"/>
    <w:rsid w:val="00772B50"/>
    <w:rsid w:val="00772B54"/>
    <w:rsid w:val="00773D47"/>
    <w:rsid w:val="00774305"/>
    <w:rsid w:val="00774306"/>
    <w:rsid w:val="007744DF"/>
    <w:rsid w:val="007753E2"/>
    <w:rsid w:val="0077541A"/>
    <w:rsid w:val="007763AF"/>
    <w:rsid w:val="007767F9"/>
    <w:rsid w:val="0077700D"/>
    <w:rsid w:val="00777243"/>
    <w:rsid w:val="007775BB"/>
    <w:rsid w:val="00777D0A"/>
    <w:rsid w:val="0078079C"/>
    <w:rsid w:val="00780C46"/>
    <w:rsid w:val="00780C5A"/>
    <w:rsid w:val="00781205"/>
    <w:rsid w:val="007813C7"/>
    <w:rsid w:val="00781452"/>
    <w:rsid w:val="007818F9"/>
    <w:rsid w:val="00781DAE"/>
    <w:rsid w:val="00781E3F"/>
    <w:rsid w:val="0078286E"/>
    <w:rsid w:val="0078287F"/>
    <w:rsid w:val="007829D3"/>
    <w:rsid w:val="00782DCF"/>
    <w:rsid w:val="00782F23"/>
    <w:rsid w:val="00782FB4"/>
    <w:rsid w:val="007832D6"/>
    <w:rsid w:val="00783713"/>
    <w:rsid w:val="007843F9"/>
    <w:rsid w:val="007845AD"/>
    <w:rsid w:val="00784C02"/>
    <w:rsid w:val="00785866"/>
    <w:rsid w:val="0078597D"/>
    <w:rsid w:val="007861E9"/>
    <w:rsid w:val="00786261"/>
    <w:rsid w:val="007864F5"/>
    <w:rsid w:val="00786515"/>
    <w:rsid w:val="00786659"/>
    <w:rsid w:val="00786BCE"/>
    <w:rsid w:val="00786CCE"/>
    <w:rsid w:val="00786FA9"/>
    <w:rsid w:val="0078738F"/>
    <w:rsid w:val="007875EA"/>
    <w:rsid w:val="00787E3D"/>
    <w:rsid w:val="00790894"/>
    <w:rsid w:val="00790F89"/>
    <w:rsid w:val="007910E3"/>
    <w:rsid w:val="007913B5"/>
    <w:rsid w:val="00791495"/>
    <w:rsid w:val="00791641"/>
    <w:rsid w:val="00791956"/>
    <w:rsid w:val="007919A7"/>
    <w:rsid w:val="00792448"/>
    <w:rsid w:val="00792BF7"/>
    <w:rsid w:val="00792C61"/>
    <w:rsid w:val="00792C71"/>
    <w:rsid w:val="00792C72"/>
    <w:rsid w:val="00792F1A"/>
    <w:rsid w:val="00792F66"/>
    <w:rsid w:val="007931AE"/>
    <w:rsid w:val="0079349C"/>
    <w:rsid w:val="007937BA"/>
    <w:rsid w:val="00793B65"/>
    <w:rsid w:val="00793BCE"/>
    <w:rsid w:val="007943C7"/>
    <w:rsid w:val="00794710"/>
    <w:rsid w:val="0079538C"/>
    <w:rsid w:val="007953E8"/>
    <w:rsid w:val="007956F1"/>
    <w:rsid w:val="00795933"/>
    <w:rsid w:val="00795A65"/>
    <w:rsid w:val="00795B0E"/>
    <w:rsid w:val="0079624E"/>
    <w:rsid w:val="007968F5"/>
    <w:rsid w:val="00796D45"/>
    <w:rsid w:val="00797156"/>
    <w:rsid w:val="007976E9"/>
    <w:rsid w:val="00797B3B"/>
    <w:rsid w:val="00797E80"/>
    <w:rsid w:val="00797ED5"/>
    <w:rsid w:val="007A01C2"/>
    <w:rsid w:val="007A041B"/>
    <w:rsid w:val="007A083C"/>
    <w:rsid w:val="007A0F7C"/>
    <w:rsid w:val="007A0FDF"/>
    <w:rsid w:val="007A104E"/>
    <w:rsid w:val="007A13C0"/>
    <w:rsid w:val="007A224E"/>
    <w:rsid w:val="007A2892"/>
    <w:rsid w:val="007A2B67"/>
    <w:rsid w:val="007A2BF1"/>
    <w:rsid w:val="007A2E52"/>
    <w:rsid w:val="007A3679"/>
    <w:rsid w:val="007A38C4"/>
    <w:rsid w:val="007A3EF9"/>
    <w:rsid w:val="007A47E0"/>
    <w:rsid w:val="007A4B18"/>
    <w:rsid w:val="007A4B6A"/>
    <w:rsid w:val="007A4C14"/>
    <w:rsid w:val="007A4D69"/>
    <w:rsid w:val="007A4EEE"/>
    <w:rsid w:val="007A4FAA"/>
    <w:rsid w:val="007A51ED"/>
    <w:rsid w:val="007A5416"/>
    <w:rsid w:val="007A5B5C"/>
    <w:rsid w:val="007A5ECD"/>
    <w:rsid w:val="007A5EFE"/>
    <w:rsid w:val="007A609B"/>
    <w:rsid w:val="007A67C1"/>
    <w:rsid w:val="007A6BFF"/>
    <w:rsid w:val="007A6DAC"/>
    <w:rsid w:val="007A6F9A"/>
    <w:rsid w:val="007A718E"/>
    <w:rsid w:val="007A7216"/>
    <w:rsid w:val="007A7566"/>
    <w:rsid w:val="007A7BAD"/>
    <w:rsid w:val="007A7E23"/>
    <w:rsid w:val="007B05E3"/>
    <w:rsid w:val="007B08F2"/>
    <w:rsid w:val="007B0A5C"/>
    <w:rsid w:val="007B0D7C"/>
    <w:rsid w:val="007B0E35"/>
    <w:rsid w:val="007B1566"/>
    <w:rsid w:val="007B172A"/>
    <w:rsid w:val="007B1838"/>
    <w:rsid w:val="007B1C39"/>
    <w:rsid w:val="007B1D86"/>
    <w:rsid w:val="007B28A9"/>
    <w:rsid w:val="007B297F"/>
    <w:rsid w:val="007B2C0A"/>
    <w:rsid w:val="007B2C64"/>
    <w:rsid w:val="007B2D78"/>
    <w:rsid w:val="007B339D"/>
    <w:rsid w:val="007B3A44"/>
    <w:rsid w:val="007B41D7"/>
    <w:rsid w:val="007B4528"/>
    <w:rsid w:val="007B4827"/>
    <w:rsid w:val="007B4900"/>
    <w:rsid w:val="007B4D64"/>
    <w:rsid w:val="007B503A"/>
    <w:rsid w:val="007B5161"/>
    <w:rsid w:val="007B585E"/>
    <w:rsid w:val="007B5DE1"/>
    <w:rsid w:val="007B61CF"/>
    <w:rsid w:val="007B636A"/>
    <w:rsid w:val="007B71B1"/>
    <w:rsid w:val="007B78D5"/>
    <w:rsid w:val="007C003C"/>
    <w:rsid w:val="007C011D"/>
    <w:rsid w:val="007C07A0"/>
    <w:rsid w:val="007C0AB5"/>
    <w:rsid w:val="007C0C75"/>
    <w:rsid w:val="007C18C2"/>
    <w:rsid w:val="007C1AB1"/>
    <w:rsid w:val="007C1DCD"/>
    <w:rsid w:val="007C218E"/>
    <w:rsid w:val="007C237E"/>
    <w:rsid w:val="007C25EB"/>
    <w:rsid w:val="007C2AEB"/>
    <w:rsid w:val="007C2E02"/>
    <w:rsid w:val="007C31C1"/>
    <w:rsid w:val="007C3430"/>
    <w:rsid w:val="007C38BF"/>
    <w:rsid w:val="007C3D13"/>
    <w:rsid w:val="007C45D6"/>
    <w:rsid w:val="007C4FFA"/>
    <w:rsid w:val="007C50A9"/>
    <w:rsid w:val="007C525A"/>
    <w:rsid w:val="007C5578"/>
    <w:rsid w:val="007C5BC6"/>
    <w:rsid w:val="007C5D76"/>
    <w:rsid w:val="007C659E"/>
    <w:rsid w:val="007C67BD"/>
    <w:rsid w:val="007C7C77"/>
    <w:rsid w:val="007C7DC5"/>
    <w:rsid w:val="007C7F11"/>
    <w:rsid w:val="007D00A9"/>
    <w:rsid w:val="007D0145"/>
    <w:rsid w:val="007D0634"/>
    <w:rsid w:val="007D077F"/>
    <w:rsid w:val="007D0A3D"/>
    <w:rsid w:val="007D0B0D"/>
    <w:rsid w:val="007D0C26"/>
    <w:rsid w:val="007D0E10"/>
    <w:rsid w:val="007D0E7C"/>
    <w:rsid w:val="007D1FD2"/>
    <w:rsid w:val="007D2000"/>
    <w:rsid w:val="007D2070"/>
    <w:rsid w:val="007D20DC"/>
    <w:rsid w:val="007D2214"/>
    <w:rsid w:val="007D256B"/>
    <w:rsid w:val="007D2722"/>
    <w:rsid w:val="007D2C35"/>
    <w:rsid w:val="007D3031"/>
    <w:rsid w:val="007D3524"/>
    <w:rsid w:val="007D36DB"/>
    <w:rsid w:val="007D3774"/>
    <w:rsid w:val="007D3A6C"/>
    <w:rsid w:val="007D3B59"/>
    <w:rsid w:val="007D3B89"/>
    <w:rsid w:val="007D3BB5"/>
    <w:rsid w:val="007D4479"/>
    <w:rsid w:val="007D4529"/>
    <w:rsid w:val="007D45CE"/>
    <w:rsid w:val="007D4992"/>
    <w:rsid w:val="007D51A0"/>
    <w:rsid w:val="007D51FC"/>
    <w:rsid w:val="007D54BB"/>
    <w:rsid w:val="007D55B9"/>
    <w:rsid w:val="007D5AA2"/>
    <w:rsid w:val="007D5BB0"/>
    <w:rsid w:val="007D5D2D"/>
    <w:rsid w:val="007D5D54"/>
    <w:rsid w:val="007D5E27"/>
    <w:rsid w:val="007D5E2B"/>
    <w:rsid w:val="007D5F1E"/>
    <w:rsid w:val="007D65C4"/>
    <w:rsid w:val="007D6A28"/>
    <w:rsid w:val="007D6AEC"/>
    <w:rsid w:val="007D71A2"/>
    <w:rsid w:val="007D7A7D"/>
    <w:rsid w:val="007D7B47"/>
    <w:rsid w:val="007E052E"/>
    <w:rsid w:val="007E0579"/>
    <w:rsid w:val="007E0A5B"/>
    <w:rsid w:val="007E0AF4"/>
    <w:rsid w:val="007E0D65"/>
    <w:rsid w:val="007E0E79"/>
    <w:rsid w:val="007E15D5"/>
    <w:rsid w:val="007E1B50"/>
    <w:rsid w:val="007E1ECC"/>
    <w:rsid w:val="007E21EC"/>
    <w:rsid w:val="007E2A05"/>
    <w:rsid w:val="007E2DFE"/>
    <w:rsid w:val="007E3DCD"/>
    <w:rsid w:val="007E410D"/>
    <w:rsid w:val="007E44EF"/>
    <w:rsid w:val="007E4508"/>
    <w:rsid w:val="007E4DF8"/>
    <w:rsid w:val="007E4ECF"/>
    <w:rsid w:val="007E5309"/>
    <w:rsid w:val="007E545F"/>
    <w:rsid w:val="007E60BF"/>
    <w:rsid w:val="007E630D"/>
    <w:rsid w:val="007E6897"/>
    <w:rsid w:val="007E7180"/>
    <w:rsid w:val="007E75C3"/>
    <w:rsid w:val="007E77FE"/>
    <w:rsid w:val="007E7870"/>
    <w:rsid w:val="007E78DC"/>
    <w:rsid w:val="007E7B18"/>
    <w:rsid w:val="007E7E9C"/>
    <w:rsid w:val="007F013C"/>
    <w:rsid w:val="007F0180"/>
    <w:rsid w:val="007F03C4"/>
    <w:rsid w:val="007F04B8"/>
    <w:rsid w:val="007F0A74"/>
    <w:rsid w:val="007F0E7C"/>
    <w:rsid w:val="007F1664"/>
    <w:rsid w:val="007F208A"/>
    <w:rsid w:val="007F2398"/>
    <w:rsid w:val="007F24F1"/>
    <w:rsid w:val="007F26D0"/>
    <w:rsid w:val="007F295C"/>
    <w:rsid w:val="007F2F83"/>
    <w:rsid w:val="007F3DD0"/>
    <w:rsid w:val="007F41EF"/>
    <w:rsid w:val="007F4D13"/>
    <w:rsid w:val="007F4F7A"/>
    <w:rsid w:val="007F5487"/>
    <w:rsid w:val="007F58AC"/>
    <w:rsid w:val="007F5BDF"/>
    <w:rsid w:val="007F5C43"/>
    <w:rsid w:val="007F5DA8"/>
    <w:rsid w:val="007F65ED"/>
    <w:rsid w:val="007F666C"/>
    <w:rsid w:val="007F684A"/>
    <w:rsid w:val="007F75B3"/>
    <w:rsid w:val="007F7AE1"/>
    <w:rsid w:val="00800F7F"/>
    <w:rsid w:val="008012B8"/>
    <w:rsid w:val="00801497"/>
    <w:rsid w:val="0080175B"/>
    <w:rsid w:val="008018B1"/>
    <w:rsid w:val="008019F0"/>
    <w:rsid w:val="00801FAE"/>
    <w:rsid w:val="0080224D"/>
    <w:rsid w:val="00802A48"/>
    <w:rsid w:val="00802CD0"/>
    <w:rsid w:val="00802E54"/>
    <w:rsid w:val="00802E68"/>
    <w:rsid w:val="00802F76"/>
    <w:rsid w:val="008031EB"/>
    <w:rsid w:val="008037CB"/>
    <w:rsid w:val="00803BDE"/>
    <w:rsid w:val="00803D5F"/>
    <w:rsid w:val="00804A66"/>
    <w:rsid w:val="00804F9D"/>
    <w:rsid w:val="0080543F"/>
    <w:rsid w:val="00805554"/>
    <w:rsid w:val="008055AA"/>
    <w:rsid w:val="00805A3A"/>
    <w:rsid w:val="00805AA3"/>
    <w:rsid w:val="00805D10"/>
    <w:rsid w:val="00805D3C"/>
    <w:rsid w:val="00806132"/>
    <w:rsid w:val="0080646F"/>
    <w:rsid w:val="0080660A"/>
    <w:rsid w:val="00806627"/>
    <w:rsid w:val="008067C0"/>
    <w:rsid w:val="00806C35"/>
    <w:rsid w:val="00806C8B"/>
    <w:rsid w:val="00807000"/>
    <w:rsid w:val="0080714E"/>
    <w:rsid w:val="00807589"/>
    <w:rsid w:val="008075F1"/>
    <w:rsid w:val="008075FE"/>
    <w:rsid w:val="00807896"/>
    <w:rsid w:val="00810BA1"/>
    <w:rsid w:val="008116B2"/>
    <w:rsid w:val="008117F1"/>
    <w:rsid w:val="00811C52"/>
    <w:rsid w:val="00811E48"/>
    <w:rsid w:val="008124BD"/>
    <w:rsid w:val="0081257A"/>
    <w:rsid w:val="00812B03"/>
    <w:rsid w:val="00812C6E"/>
    <w:rsid w:val="00812D48"/>
    <w:rsid w:val="00812E29"/>
    <w:rsid w:val="00812F78"/>
    <w:rsid w:val="00812FE4"/>
    <w:rsid w:val="00814558"/>
    <w:rsid w:val="00814DD4"/>
    <w:rsid w:val="00815475"/>
    <w:rsid w:val="008158F4"/>
    <w:rsid w:val="00815A35"/>
    <w:rsid w:val="00815DB6"/>
    <w:rsid w:val="00815FF4"/>
    <w:rsid w:val="008160B8"/>
    <w:rsid w:val="00816802"/>
    <w:rsid w:val="008174EE"/>
    <w:rsid w:val="0081758C"/>
    <w:rsid w:val="0081780E"/>
    <w:rsid w:val="008179B5"/>
    <w:rsid w:val="008179FD"/>
    <w:rsid w:val="00820433"/>
    <w:rsid w:val="0082045B"/>
    <w:rsid w:val="00820578"/>
    <w:rsid w:val="00820663"/>
    <w:rsid w:val="008208BE"/>
    <w:rsid w:val="00820920"/>
    <w:rsid w:val="00820D9C"/>
    <w:rsid w:val="00821359"/>
    <w:rsid w:val="00821697"/>
    <w:rsid w:val="0082178B"/>
    <w:rsid w:val="00822465"/>
    <w:rsid w:val="0082289D"/>
    <w:rsid w:val="008228A6"/>
    <w:rsid w:val="0082333B"/>
    <w:rsid w:val="008236D2"/>
    <w:rsid w:val="00823952"/>
    <w:rsid w:val="00824278"/>
    <w:rsid w:val="0082470F"/>
    <w:rsid w:val="0082599D"/>
    <w:rsid w:val="00825C52"/>
    <w:rsid w:val="00825DB5"/>
    <w:rsid w:val="0082616F"/>
    <w:rsid w:val="00826313"/>
    <w:rsid w:val="0082669F"/>
    <w:rsid w:val="008269AD"/>
    <w:rsid w:val="00826C39"/>
    <w:rsid w:val="00826DD0"/>
    <w:rsid w:val="0082766C"/>
    <w:rsid w:val="008277C7"/>
    <w:rsid w:val="00830B75"/>
    <w:rsid w:val="00831135"/>
    <w:rsid w:val="0083122B"/>
    <w:rsid w:val="0083181C"/>
    <w:rsid w:val="0083185F"/>
    <w:rsid w:val="008318E1"/>
    <w:rsid w:val="00831C7C"/>
    <w:rsid w:val="008324B5"/>
    <w:rsid w:val="008326CF"/>
    <w:rsid w:val="008327AE"/>
    <w:rsid w:val="00833164"/>
    <w:rsid w:val="008331F5"/>
    <w:rsid w:val="008333A5"/>
    <w:rsid w:val="00833441"/>
    <w:rsid w:val="00833B2D"/>
    <w:rsid w:val="00833E0D"/>
    <w:rsid w:val="00833E5E"/>
    <w:rsid w:val="00833E7C"/>
    <w:rsid w:val="00834206"/>
    <w:rsid w:val="00834311"/>
    <w:rsid w:val="008349F2"/>
    <w:rsid w:val="00834AE7"/>
    <w:rsid w:val="00835C71"/>
    <w:rsid w:val="00835E4A"/>
    <w:rsid w:val="00836121"/>
    <w:rsid w:val="0083634D"/>
    <w:rsid w:val="008367FC"/>
    <w:rsid w:val="00836ABA"/>
    <w:rsid w:val="00836AE8"/>
    <w:rsid w:val="00836B7E"/>
    <w:rsid w:val="00836F18"/>
    <w:rsid w:val="00837546"/>
    <w:rsid w:val="008378AC"/>
    <w:rsid w:val="00837948"/>
    <w:rsid w:val="00840910"/>
    <w:rsid w:val="00840C9C"/>
    <w:rsid w:val="00841466"/>
    <w:rsid w:val="008419E4"/>
    <w:rsid w:val="00841C12"/>
    <w:rsid w:val="00841E21"/>
    <w:rsid w:val="00842509"/>
    <w:rsid w:val="0084263D"/>
    <w:rsid w:val="008427B9"/>
    <w:rsid w:val="0084288A"/>
    <w:rsid w:val="0084350F"/>
    <w:rsid w:val="0084379F"/>
    <w:rsid w:val="00843816"/>
    <w:rsid w:val="008441F7"/>
    <w:rsid w:val="00844439"/>
    <w:rsid w:val="008444C3"/>
    <w:rsid w:val="0084456A"/>
    <w:rsid w:val="00844583"/>
    <w:rsid w:val="008445F0"/>
    <w:rsid w:val="0084498F"/>
    <w:rsid w:val="00844AB1"/>
    <w:rsid w:val="00844B98"/>
    <w:rsid w:val="00844ED6"/>
    <w:rsid w:val="008455C5"/>
    <w:rsid w:val="008457D0"/>
    <w:rsid w:val="00845AD8"/>
    <w:rsid w:val="00846113"/>
    <w:rsid w:val="008467A7"/>
    <w:rsid w:val="0084689D"/>
    <w:rsid w:val="00846D8C"/>
    <w:rsid w:val="008470D2"/>
    <w:rsid w:val="0084778B"/>
    <w:rsid w:val="0084779D"/>
    <w:rsid w:val="0084787D"/>
    <w:rsid w:val="0084788F"/>
    <w:rsid w:val="00847BE8"/>
    <w:rsid w:val="00847FE5"/>
    <w:rsid w:val="008502FA"/>
    <w:rsid w:val="00850376"/>
    <w:rsid w:val="00850606"/>
    <w:rsid w:val="00850C4D"/>
    <w:rsid w:val="00850E85"/>
    <w:rsid w:val="00851458"/>
    <w:rsid w:val="00851521"/>
    <w:rsid w:val="00851868"/>
    <w:rsid w:val="00851BB2"/>
    <w:rsid w:val="00851CE4"/>
    <w:rsid w:val="00851D8E"/>
    <w:rsid w:val="0085291C"/>
    <w:rsid w:val="0085293F"/>
    <w:rsid w:val="00852C86"/>
    <w:rsid w:val="00852F90"/>
    <w:rsid w:val="008533AB"/>
    <w:rsid w:val="008533DD"/>
    <w:rsid w:val="008534BB"/>
    <w:rsid w:val="0085386B"/>
    <w:rsid w:val="00853A7C"/>
    <w:rsid w:val="00853B3C"/>
    <w:rsid w:val="00853DD5"/>
    <w:rsid w:val="00854667"/>
    <w:rsid w:val="00854D30"/>
    <w:rsid w:val="00854D32"/>
    <w:rsid w:val="00854F0C"/>
    <w:rsid w:val="0085522C"/>
    <w:rsid w:val="008558BB"/>
    <w:rsid w:val="008565EB"/>
    <w:rsid w:val="00856656"/>
    <w:rsid w:val="00856C70"/>
    <w:rsid w:val="00857252"/>
    <w:rsid w:val="00857FD1"/>
    <w:rsid w:val="00860347"/>
    <w:rsid w:val="00860696"/>
    <w:rsid w:val="008606CA"/>
    <w:rsid w:val="00861537"/>
    <w:rsid w:val="0086228B"/>
    <w:rsid w:val="00862B4F"/>
    <w:rsid w:val="00862B58"/>
    <w:rsid w:val="00862DA0"/>
    <w:rsid w:val="008630FD"/>
    <w:rsid w:val="00863564"/>
    <w:rsid w:val="008638B9"/>
    <w:rsid w:val="00863CAD"/>
    <w:rsid w:val="00863CC6"/>
    <w:rsid w:val="00863F3B"/>
    <w:rsid w:val="008649B5"/>
    <w:rsid w:val="0086565C"/>
    <w:rsid w:val="0086659A"/>
    <w:rsid w:val="008666FE"/>
    <w:rsid w:val="00866A66"/>
    <w:rsid w:val="00866B06"/>
    <w:rsid w:val="00866C21"/>
    <w:rsid w:val="00866FC2"/>
    <w:rsid w:val="00867A99"/>
    <w:rsid w:val="00870132"/>
    <w:rsid w:val="00870158"/>
    <w:rsid w:val="00870327"/>
    <w:rsid w:val="00870552"/>
    <w:rsid w:val="008706E3"/>
    <w:rsid w:val="008708E8"/>
    <w:rsid w:val="00870A2D"/>
    <w:rsid w:val="0087116D"/>
    <w:rsid w:val="008714FB"/>
    <w:rsid w:val="00871788"/>
    <w:rsid w:val="00871FA6"/>
    <w:rsid w:val="00872016"/>
    <w:rsid w:val="0087206F"/>
    <w:rsid w:val="0087246C"/>
    <w:rsid w:val="008724B9"/>
    <w:rsid w:val="008726E3"/>
    <w:rsid w:val="00872A4D"/>
    <w:rsid w:val="00873003"/>
    <w:rsid w:val="00873111"/>
    <w:rsid w:val="0087354B"/>
    <w:rsid w:val="008738EE"/>
    <w:rsid w:val="0087393C"/>
    <w:rsid w:val="00873BD5"/>
    <w:rsid w:val="008744A7"/>
    <w:rsid w:val="008744D5"/>
    <w:rsid w:val="00875449"/>
    <w:rsid w:val="00875B91"/>
    <w:rsid w:val="008763CC"/>
    <w:rsid w:val="00876594"/>
    <w:rsid w:val="00876656"/>
    <w:rsid w:val="00876792"/>
    <w:rsid w:val="00876EA9"/>
    <w:rsid w:val="00877417"/>
    <w:rsid w:val="008777A5"/>
    <w:rsid w:val="00877833"/>
    <w:rsid w:val="008778E9"/>
    <w:rsid w:val="00877F1B"/>
    <w:rsid w:val="0088058D"/>
    <w:rsid w:val="00880B7A"/>
    <w:rsid w:val="00880BD5"/>
    <w:rsid w:val="00881094"/>
    <w:rsid w:val="008810B7"/>
    <w:rsid w:val="0088122D"/>
    <w:rsid w:val="00881269"/>
    <w:rsid w:val="008817B5"/>
    <w:rsid w:val="00881837"/>
    <w:rsid w:val="00881E2B"/>
    <w:rsid w:val="00882018"/>
    <w:rsid w:val="00882723"/>
    <w:rsid w:val="00882E6B"/>
    <w:rsid w:val="008830D1"/>
    <w:rsid w:val="00883AB3"/>
    <w:rsid w:val="00883AB4"/>
    <w:rsid w:val="00883D11"/>
    <w:rsid w:val="00883EA3"/>
    <w:rsid w:val="00884590"/>
    <w:rsid w:val="008846D2"/>
    <w:rsid w:val="00884E52"/>
    <w:rsid w:val="00884EE9"/>
    <w:rsid w:val="00885004"/>
    <w:rsid w:val="008863EF"/>
    <w:rsid w:val="00886F1B"/>
    <w:rsid w:val="0088792C"/>
    <w:rsid w:val="00887A44"/>
    <w:rsid w:val="00887FD7"/>
    <w:rsid w:val="008900E1"/>
    <w:rsid w:val="00890A05"/>
    <w:rsid w:val="00890A1A"/>
    <w:rsid w:val="008913BE"/>
    <w:rsid w:val="00891483"/>
    <w:rsid w:val="008916BE"/>
    <w:rsid w:val="00891A53"/>
    <w:rsid w:val="00891F50"/>
    <w:rsid w:val="00892355"/>
    <w:rsid w:val="00892402"/>
    <w:rsid w:val="0089253F"/>
    <w:rsid w:val="00892824"/>
    <w:rsid w:val="0089295A"/>
    <w:rsid w:val="00892B39"/>
    <w:rsid w:val="00892EFE"/>
    <w:rsid w:val="008938A3"/>
    <w:rsid w:val="00893901"/>
    <w:rsid w:val="00893E27"/>
    <w:rsid w:val="00894120"/>
    <w:rsid w:val="0089430F"/>
    <w:rsid w:val="00894327"/>
    <w:rsid w:val="00894490"/>
    <w:rsid w:val="00894567"/>
    <w:rsid w:val="008946C0"/>
    <w:rsid w:val="00894F8B"/>
    <w:rsid w:val="008952FB"/>
    <w:rsid w:val="00895B0C"/>
    <w:rsid w:val="00896750"/>
    <w:rsid w:val="00897362"/>
    <w:rsid w:val="008973C4"/>
    <w:rsid w:val="008978B2"/>
    <w:rsid w:val="00897A2E"/>
    <w:rsid w:val="008A0086"/>
    <w:rsid w:val="008A0A59"/>
    <w:rsid w:val="008A11B2"/>
    <w:rsid w:val="008A138F"/>
    <w:rsid w:val="008A16C7"/>
    <w:rsid w:val="008A21D3"/>
    <w:rsid w:val="008A279C"/>
    <w:rsid w:val="008A3180"/>
    <w:rsid w:val="008A3A98"/>
    <w:rsid w:val="008A45B8"/>
    <w:rsid w:val="008A47A6"/>
    <w:rsid w:val="008A48F6"/>
    <w:rsid w:val="008A4B2C"/>
    <w:rsid w:val="008A4B81"/>
    <w:rsid w:val="008A5077"/>
    <w:rsid w:val="008A53ED"/>
    <w:rsid w:val="008A5953"/>
    <w:rsid w:val="008A61E8"/>
    <w:rsid w:val="008A6442"/>
    <w:rsid w:val="008A6625"/>
    <w:rsid w:val="008A69D6"/>
    <w:rsid w:val="008A7101"/>
    <w:rsid w:val="008A7699"/>
    <w:rsid w:val="008B0415"/>
    <w:rsid w:val="008B0BB1"/>
    <w:rsid w:val="008B0BF1"/>
    <w:rsid w:val="008B1605"/>
    <w:rsid w:val="008B1825"/>
    <w:rsid w:val="008B1D73"/>
    <w:rsid w:val="008B2B0E"/>
    <w:rsid w:val="008B3146"/>
    <w:rsid w:val="008B3285"/>
    <w:rsid w:val="008B33E4"/>
    <w:rsid w:val="008B383B"/>
    <w:rsid w:val="008B3C06"/>
    <w:rsid w:val="008B3F11"/>
    <w:rsid w:val="008B3FA6"/>
    <w:rsid w:val="008B41CF"/>
    <w:rsid w:val="008B428A"/>
    <w:rsid w:val="008B469F"/>
    <w:rsid w:val="008B4CA8"/>
    <w:rsid w:val="008B52A5"/>
    <w:rsid w:val="008B536E"/>
    <w:rsid w:val="008B59AE"/>
    <w:rsid w:val="008B5A20"/>
    <w:rsid w:val="008B5C46"/>
    <w:rsid w:val="008B63D7"/>
    <w:rsid w:val="008B63DD"/>
    <w:rsid w:val="008B68A3"/>
    <w:rsid w:val="008B68C3"/>
    <w:rsid w:val="008B692D"/>
    <w:rsid w:val="008B7307"/>
    <w:rsid w:val="008B79DB"/>
    <w:rsid w:val="008B7FB5"/>
    <w:rsid w:val="008C06EF"/>
    <w:rsid w:val="008C0990"/>
    <w:rsid w:val="008C0C21"/>
    <w:rsid w:val="008C0D70"/>
    <w:rsid w:val="008C1081"/>
    <w:rsid w:val="008C12F0"/>
    <w:rsid w:val="008C1AEC"/>
    <w:rsid w:val="008C1D41"/>
    <w:rsid w:val="008C3014"/>
    <w:rsid w:val="008C302F"/>
    <w:rsid w:val="008C31A1"/>
    <w:rsid w:val="008C454B"/>
    <w:rsid w:val="008C5270"/>
    <w:rsid w:val="008C5334"/>
    <w:rsid w:val="008C5CBF"/>
    <w:rsid w:val="008C5E30"/>
    <w:rsid w:val="008C69D5"/>
    <w:rsid w:val="008C6C72"/>
    <w:rsid w:val="008C6D45"/>
    <w:rsid w:val="008C730E"/>
    <w:rsid w:val="008C773D"/>
    <w:rsid w:val="008C7F57"/>
    <w:rsid w:val="008D05A1"/>
    <w:rsid w:val="008D13BB"/>
    <w:rsid w:val="008D1A25"/>
    <w:rsid w:val="008D1E10"/>
    <w:rsid w:val="008D1F56"/>
    <w:rsid w:val="008D1FF5"/>
    <w:rsid w:val="008D21BF"/>
    <w:rsid w:val="008D23A0"/>
    <w:rsid w:val="008D252C"/>
    <w:rsid w:val="008D27BE"/>
    <w:rsid w:val="008D329D"/>
    <w:rsid w:val="008D33C6"/>
    <w:rsid w:val="008D394B"/>
    <w:rsid w:val="008D3B1D"/>
    <w:rsid w:val="008D3BFB"/>
    <w:rsid w:val="008D3E14"/>
    <w:rsid w:val="008D424E"/>
    <w:rsid w:val="008D508D"/>
    <w:rsid w:val="008D5557"/>
    <w:rsid w:val="008D5EEB"/>
    <w:rsid w:val="008D5FE2"/>
    <w:rsid w:val="008D6367"/>
    <w:rsid w:val="008D65C6"/>
    <w:rsid w:val="008D6B6B"/>
    <w:rsid w:val="008D712D"/>
    <w:rsid w:val="008D797A"/>
    <w:rsid w:val="008D7A48"/>
    <w:rsid w:val="008D7B1C"/>
    <w:rsid w:val="008D7ED9"/>
    <w:rsid w:val="008E0650"/>
    <w:rsid w:val="008E0A0B"/>
    <w:rsid w:val="008E0AEB"/>
    <w:rsid w:val="008E0BC0"/>
    <w:rsid w:val="008E0E80"/>
    <w:rsid w:val="008E0F5D"/>
    <w:rsid w:val="008E1091"/>
    <w:rsid w:val="008E151D"/>
    <w:rsid w:val="008E1812"/>
    <w:rsid w:val="008E2123"/>
    <w:rsid w:val="008E2265"/>
    <w:rsid w:val="008E2E8C"/>
    <w:rsid w:val="008E2FDC"/>
    <w:rsid w:val="008E32E7"/>
    <w:rsid w:val="008E3677"/>
    <w:rsid w:val="008E5569"/>
    <w:rsid w:val="008E5B29"/>
    <w:rsid w:val="008E5BE2"/>
    <w:rsid w:val="008E6079"/>
    <w:rsid w:val="008E612A"/>
    <w:rsid w:val="008E6827"/>
    <w:rsid w:val="008E6EE7"/>
    <w:rsid w:val="008E728F"/>
    <w:rsid w:val="008E76B9"/>
    <w:rsid w:val="008E7B81"/>
    <w:rsid w:val="008F0017"/>
    <w:rsid w:val="008F0260"/>
    <w:rsid w:val="008F04C7"/>
    <w:rsid w:val="008F05DB"/>
    <w:rsid w:val="008F1385"/>
    <w:rsid w:val="008F26DC"/>
    <w:rsid w:val="008F2791"/>
    <w:rsid w:val="008F2C36"/>
    <w:rsid w:val="008F31C5"/>
    <w:rsid w:val="008F4230"/>
    <w:rsid w:val="008F45F2"/>
    <w:rsid w:val="008F4E4E"/>
    <w:rsid w:val="008F534B"/>
    <w:rsid w:val="008F5757"/>
    <w:rsid w:val="008F57B0"/>
    <w:rsid w:val="008F593D"/>
    <w:rsid w:val="008F5B92"/>
    <w:rsid w:val="008F5D5F"/>
    <w:rsid w:val="008F6555"/>
    <w:rsid w:val="008F6BCB"/>
    <w:rsid w:val="008F7188"/>
    <w:rsid w:val="008F75D1"/>
    <w:rsid w:val="008F7C09"/>
    <w:rsid w:val="008F7ED4"/>
    <w:rsid w:val="00900334"/>
    <w:rsid w:val="009003E5"/>
    <w:rsid w:val="0090070B"/>
    <w:rsid w:val="00900838"/>
    <w:rsid w:val="00900A96"/>
    <w:rsid w:val="00900DA2"/>
    <w:rsid w:val="00900DF4"/>
    <w:rsid w:val="00900E96"/>
    <w:rsid w:val="0090176C"/>
    <w:rsid w:val="00901D27"/>
    <w:rsid w:val="00901EAD"/>
    <w:rsid w:val="00902169"/>
    <w:rsid w:val="00902493"/>
    <w:rsid w:val="00902858"/>
    <w:rsid w:val="009029F6"/>
    <w:rsid w:val="009037C3"/>
    <w:rsid w:val="00903862"/>
    <w:rsid w:val="00903D92"/>
    <w:rsid w:val="00903E3C"/>
    <w:rsid w:val="00903E53"/>
    <w:rsid w:val="009046A7"/>
    <w:rsid w:val="00904A07"/>
    <w:rsid w:val="00904C02"/>
    <w:rsid w:val="009054C9"/>
    <w:rsid w:val="00905AE3"/>
    <w:rsid w:val="00905B7E"/>
    <w:rsid w:val="00906254"/>
    <w:rsid w:val="00906924"/>
    <w:rsid w:val="00906945"/>
    <w:rsid w:val="00906BB2"/>
    <w:rsid w:val="0090705D"/>
    <w:rsid w:val="0090723B"/>
    <w:rsid w:val="00907508"/>
    <w:rsid w:val="0091042F"/>
    <w:rsid w:val="009106D4"/>
    <w:rsid w:val="00910D6B"/>
    <w:rsid w:val="00910FBC"/>
    <w:rsid w:val="009114A9"/>
    <w:rsid w:val="009116D3"/>
    <w:rsid w:val="0091207C"/>
    <w:rsid w:val="00912278"/>
    <w:rsid w:val="00912372"/>
    <w:rsid w:val="009130BD"/>
    <w:rsid w:val="00913645"/>
    <w:rsid w:val="009138AF"/>
    <w:rsid w:val="009138D8"/>
    <w:rsid w:val="00913FE2"/>
    <w:rsid w:val="00914A2D"/>
    <w:rsid w:val="00914B1C"/>
    <w:rsid w:val="00914E3C"/>
    <w:rsid w:val="00914E53"/>
    <w:rsid w:val="00915750"/>
    <w:rsid w:val="0091598C"/>
    <w:rsid w:val="00915D20"/>
    <w:rsid w:val="00915F20"/>
    <w:rsid w:val="00916296"/>
    <w:rsid w:val="0091677F"/>
    <w:rsid w:val="00916A54"/>
    <w:rsid w:val="00916A98"/>
    <w:rsid w:val="009170FE"/>
    <w:rsid w:val="0091737C"/>
    <w:rsid w:val="0091752F"/>
    <w:rsid w:val="00920026"/>
    <w:rsid w:val="0092053A"/>
    <w:rsid w:val="00920C6B"/>
    <w:rsid w:val="00921088"/>
    <w:rsid w:val="0092212D"/>
    <w:rsid w:val="009226CF"/>
    <w:rsid w:val="0092370D"/>
    <w:rsid w:val="009238D2"/>
    <w:rsid w:val="00924029"/>
    <w:rsid w:val="00924C90"/>
    <w:rsid w:val="00925B9E"/>
    <w:rsid w:val="009261B0"/>
    <w:rsid w:val="00926609"/>
    <w:rsid w:val="00927225"/>
    <w:rsid w:val="0092735E"/>
    <w:rsid w:val="009273AB"/>
    <w:rsid w:val="009274D5"/>
    <w:rsid w:val="00927542"/>
    <w:rsid w:val="009275C2"/>
    <w:rsid w:val="00927947"/>
    <w:rsid w:val="00927BBE"/>
    <w:rsid w:val="00927BFA"/>
    <w:rsid w:val="009303F2"/>
    <w:rsid w:val="00930BD6"/>
    <w:rsid w:val="00930C71"/>
    <w:rsid w:val="00932351"/>
    <w:rsid w:val="00932373"/>
    <w:rsid w:val="00932AE7"/>
    <w:rsid w:val="00933A96"/>
    <w:rsid w:val="00934757"/>
    <w:rsid w:val="00934A6C"/>
    <w:rsid w:val="00934C36"/>
    <w:rsid w:val="00935877"/>
    <w:rsid w:val="009363EC"/>
    <w:rsid w:val="00936CF8"/>
    <w:rsid w:val="00937019"/>
    <w:rsid w:val="00937AB8"/>
    <w:rsid w:val="00937CB7"/>
    <w:rsid w:val="009403B2"/>
    <w:rsid w:val="0094040F"/>
    <w:rsid w:val="00940878"/>
    <w:rsid w:val="00940D2F"/>
    <w:rsid w:val="00940E55"/>
    <w:rsid w:val="00941B12"/>
    <w:rsid w:val="00941BD9"/>
    <w:rsid w:val="00942090"/>
    <w:rsid w:val="00942151"/>
    <w:rsid w:val="009423FC"/>
    <w:rsid w:val="0094258F"/>
    <w:rsid w:val="00942B2C"/>
    <w:rsid w:val="00942E17"/>
    <w:rsid w:val="009431E9"/>
    <w:rsid w:val="009432AF"/>
    <w:rsid w:val="00943363"/>
    <w:rsid w:val="009437CE"/>
    <w:rsid w:val="00943DBD"/>
    <w:rsid w:val="00943E38"/>
    <w:rsid w:val="00943F72"/>
    <w:rsid w:val="00943FFC"/>
    <w:rsid w:val="009440EE"/>
    <w:rsid w:val="00944467"/>
    <w:rsid w:val="00944E4A"/>
    <w:rsid w:val="00944F35"/>
    <w:rsid w:val="00945DDF"/>
    <w:rsid w:val="00945F5F"/>
    <w:rsid w:val="0094650B"/>
    <w:rsid w:val="00946CE0"/>
    <w:rsid w:val="00947051"/>
    <w:rsid w:val="009470A2"/>
    <w:rsid w:val="009471CE"/>
    <w:rsid w:val="00947307"/>
    <w:rsid w:val="00947330"/>
    <w:rsid w:val="009474F9"/>
    <w:rsid w:val="00947A8B"/>
    <w:rsid w:val="00947BF7"/>
    <w:rsid w:val="0095021D"/>
    <w:rsid w:val="0095043E"/>
    <w:rsid w:val="009507D7"/>
    <w:rsid w:val="00950EE7"/>
    <w:rsid w:val="00950F3C"/>
    <w:rsid w:val="00951136"/>
    <w:rsid w:val="0095193D"/>
    <w:rsid w:val="00951EC5"/>
    <w:rsid w:val="00951FC7"/>
    <w:rsid w:val="0095241A"/>
    <w:rsid w:val="00952D62"/>
    <w:rsid w:val="0095334D"/>
    <w:rsid w:val="00953604"/>
    <w:rsid w:val="00953CB6"/>
    <w:rsid w:val="00953DD6"/>
    <w:rsid w:val="00954277"/>
    <w:rsid w:val="009543A4"/>
    <w:rsid w:val="00954E37"/>
    <w:rsid w:val="00955513"/>
    <w:rsid w:val="00955825"/>
    <w:rsid w:val="00955ABA"/>
    <w:rsid w:val="00956E90"/>
    <w:rsid w:val="00957648"/>
    <w:rsid w:val="00957A38"/>
    <w:rsid w:val="00957AD5"/>
    <w:rsid w:val="00960C79"/>
    <w:rsid w:val="00960E93"/>
    <w:rsid w:val="00961023"/>
    <w:rsid w:val="00961623"/>
    <w:rsid w:val="00962105"/>
    <w:rsid w:val="0096221A"/>
    <w:rsid w:val="0096240B"/>
    <w:rsid w:val="0096240C"/>
    <w:rsid w:val="009624C1"/>
    <w:rsid w:val="00962703"/>
    <w:rsid w:val="00962FD5"/>
    <w:rsid w:val="00963173"/>
    <w:rsid w:val="009632AD"/>
    <w:rsid w:val="009633D5"/>
    <w:rsid w:val="0096368C"/>
    <w:rsid w:val="0096383C"/>
    <w:rsid w:val="00963D2A"/>
    <w:rsid w:val="00964ADD"/>
    <w:rsid w:val="00964D9F"/>
    <w:rsid w:val="00964DAA"/>
    <w:rsid w:val="00964E26"/>
    <w:rsid w:val="00965E7A"/>
    <w:rsid w:val="00966310"/>
    <w:rsid w:val="009666EE"/>
    <w:rsid w:val="00966968"/>
    <w:rsid w:val="00966CFA"/>
    <w:rsid w:val="00967013"/>
    <w:rsid w:val="00967181"/>
    <w:rsid w:val="0096756E"/>
    <w:rsid w:val="009679EC"/>
    <w:rsid w:val="00967A36"/>
    <w:rsid w:val="009701E1"/>
    <w:rsid w:val="00970390"/>
    <w:rsid w:val="009706E8"/>
    <w:rsid w:val="00970825"/>
    <w:rsid w:val="00970C95"/>
    <w:rsid w:val="009710D8"/>
    <w:rsid w:val="0097122B"/>
    <w:rsid w:val="009712E9"/>
    <w:rsid w:val="009713BE"/>
    <w:rsid w:val="0097143E"/>
    <w:rsid w:val="00971E19"/>
    <w:rsid w:val="00972005"/>
    <w:rsid w:val="0097225B"/>
    <w:rsid w:val="009723CF"/>
    <w:rsid w:val="0097255C"/>
    <w:rsid w:val="00972A7F"/>
    <w:rsid w:val="00973027"/>
    <w:rsid w:val="00973626"/>
    <w:rsid w:val="00973B48"/>
    <w:rsid w:val="00973C8B"/>
    <w:rsid w:val="0097461D"/>
    <w:rsid w:val="00974DA0"/>
    <w:rsid w:val="00974EEE"/>
    <w:rsid w:val="009757C5"/>
    <w:rsid w:val="00975EDC"/>
    <w:rsid w:val="00976359"/>
    <w:rsid w:val="009765BA"/>
    <w:rsid w:val="009766F5"/>
    <w:rsid w:val="00976A38"/>
    <w:rsid w:val="00976F20"/>
    <w:rsid w:val="00976F3D"/>
    <w:rsid w:val="009803A2"/>
    <w:rsid w:val="00980709"/>
    <w:rsid w:val="00980789"/>
    <w:rsid w:val="009807CB"/>
    <w:rsid w:val="00980A5F"/>
    <w:rsid w:val="00980C9A"/>
    <w:rsid w:val="00981111"/>
    <w:rsid w:val="0098115F"/>
    <w:rsid w:val="009812DC"/>
    <w:rsid w:val="009814C1"/>
    <w:rsid w:val="00981954"/>
    <w:rsid w:val="00982430"/>
    <w:rsid w:val="00982542"/>
    <w:rsid w:val="009825A3"/>
    <w:rsid w:val="00982648"/>
    <w:rsid w:val="00982E82"/>
    <w:rsid w:val="0098308B"/>
    <w:rsid w:val="0098327E"/>
    <w:rsid w:val="00983658"/>
    <w:rsid w:val="00983E8D"/>
    <w:rsid w:val="00983EC9"/>
    <w:rsid w:val="00984297"/>
    <w:rsid w:val="00984E72"/>
    <w:rsid w:val="00985845"/>
    <w:rsid w:val="0098695D"/>
    <w:rsid w:val="0098748F"/>
    <w:rsid w:val="0098777C"/>
    <w:rsid w:val="009879FE"/>
    <w:rsid w:val="00987C76"/>
    <w:rsid w:val="00987D82"/>
    <w:rsid w:val="00990001"/>
    <w:rsid w:val="00990154"/>
    <w:rsid w:val="009908DE"/>
    <w:rsid w:val="00990D51"/>
    <w:rsid w:val="00990F5D"/>
    <w:rsid w:val="0099223B"/>
    <w:rsid w:val="0099241F"/>
    <w:rsid w:val="0099251A"/>
    <w:rsid w:val="0099298E"/>
    <w:rsid w:val="00992BE7"/>
    <w:rsid w:val="00992DF5"/>
    <w:rsid w:val="00992F35"/>
    <w:rsid w:val="00993257"/>
    <w:rsid w:val="00993D70"/>
    <w:rsid w:val="00993DE5"/>
    <w:rsid w:val="009941AD"/>
    <w:rsid w:val="00994369"/>
    <w:rsid w:val="0099436B"/>
    <w:rsid w:val="00994672"/>
    <w:rsid w:val="00994896"/>
    <w:rsid w:val="0099536D"/>
    <w:rsid w:val="009960AC"/>
    <w:rsid w:val="00996852"/>
    <w:rsid w:val="00996C37"/>
    <w:rsid w:val="00996C6C"/>
    <w:rsid w:val="00997EF3"/>
    <w:rsid w:val="00997F16"/>
    <w:rsid w:val="009A067F"/>
    <w:rsid w:val="009A06DB"/>
    <w:rsid w:val="009A072D"/>
    <w:rsid w:val="009A08EB"/>
    <w:rsid w:val="009A08F7"/>
    <w:rsid w:val="009A0BB2"/>
    <w:rsid w:val="009A0FA1"/>
    <w:rsid w:val="009A1276"/>
    <w:rsid w:val="009A1460"/>
    <w:rsid w:val="009A16AF"/>
    <w:rsid w:val="009A1B97"/>
    <w:rsid w:val="009A2096"/>
    <w:rsid w:val="009A228B"/>
    <w:rsid w:val="009A2D13"/>
    <w:rsid w:val="009A2EB2"/>
    <w:rsid w:val="009A2F53"/>
    <w:rsid w:val="009A31B4"/>
    <w:rsid w:val="009A35F8"/>
    <w:rsid w:val="009A387B"/>
    <w:rsid w:val="009A3A09"/>
    <w:rsid w:val="009A3AF0"/>
    <w:rsid w:val="009A402D"/>
    <w:rsid w:val="009A408F"/>
    <w:rsid w:val="009A419C"/>
    <w:rsid w:val="009A4A1A"/>
    <w:rsid w:val="009A555A"/>
    <w:rsid w:val="009A567E"/>
    <w:rsid w:val="009A57FC"/>
    <w:rsid w:val="009A5CC7"/>
    <w:rsid w:val="009A6421"/>
    <w:rsid w:val="009A6873"/>
    <w:rsid w:val="009A6FAE"/>
    <w:rsid w:val="009A7764"/>
    <w:rsid w:val="009A7AAD"/>
    <w:rsid w:val="009B0444"/>
    <w:rsid w:val="009B04C7"/>
    <w:rsid w:val="009B04D0"/>
    <w:rsid w:val="009B05AF"/>
    <w:rsid w:val="009B0700"/>
    <w:rsid w:val="009B0800"/>
    <w:rsid w:val="009B0C92"/>
    <w:rsid w:val="009B0EC5"/>
    <w:rsid w:val="009B0F28"/>
    <w:rsid w:val="009B1035"/>
    <w:rsid w:val="009B15E4"/>
    <w:rsid w:val="009B1601"/>
    <w:rsid w:val="009B19A6"/>
    <w:rsid w:val="009B1C77"/>
    <w:rsid w:val="009B1D08"/>
    <w:rsid w:val="009B263B"/>
    <w:rsid w:val="009B2A67"/>
    <w:rsid w:val="009B331C"/>
    <w:rsid w:val="009B3453"/>
    <w:rsid w:val="009B3830"/>
    <w:rsid w:val="009B3B60"/>
    <w:rsid w:val="009B3F30"/>
    <w:rsid w:val="009B445E"/>
    <w:rsid w:val="009B47B2"/>
    <w:rsid w:val="009B48E9"/>
    <w:rsid w:val="009B4C71"/>
    <w:rsid w:val="009B4EE6"/>
    <w:rsid w:val="009B58CF"/>
    <w:rsid w:val="009B7A03"/>
    <w:rsid w:val="009B7A89"/>
    <w:rsid w:val="009B7F5D"/>
    <w:rsid w:val="009C046F"/>
    <w:rsid w:val="009C04B7"/>
    <w:rsid w:val="009C06FD"/>
    <w:rsid w:val="009C0876"/>
    <w:rsid w:val="009C0E03"/>
    <w:rsid w:val="009C18DC"/>
    <w:rsid w:val="009C1A52"/>
    <w:rsid w:val="009C202B"/>
    <w:rsid w:val="009C2260"/>
    <w:rsid w:val="009C2610"/>
    <w:rsid w:val="009C26FB"/>
    <w:rsid w:val="009C2A38"/>
    <w:rsid w:val="009C2A4E"/>
    <w:rsid w:val="009C2C4E"/>
    <w:rsid w:val="009C3254"/>
    <w:rsid w:val="009C3469"/>
    <w:rsid w:val="009C346A"/>
    <w:rsid w:val="009C3649"/>
    <w:rsid w:val="009C3850"/>
    <w:rsid w:val="009C38EA"/>
    <w:rsid w:val="009C3ACB"/>
    <w:rsid w:val="009C48BF"/>
    <w:rsid w:val="009C4A60"/>
    <w:rsid w:val="009C4DBE"/>
    <w:rsid w:val="009C4FD1"/>
    <w:rsid w:val="009C4FFC"/>
    <w:rsid w:val="009C54F6"/>
    <w:rsid w:val="009C5601"/>
    <w:rsid w:val="009C590A"/>
    <w:rsid w:val="009C5B63"/>
    <w:rsid w:val="009C5F4C"/>
    <w:rsid w:val="009C650F"/>
    <w:rsid w:val="009C683B"/>
    <w:rsid w:val="009C7369"/>
    <w:rsid w:val="009C76BB"/>
    <w:rsid w:val="009C77B0"/>
    <w:rsid w:val="009D004E"/>
    <w:rsid w:val="009D01AE"/>
    <w:rsid w:val="009D0527"/>
    <w:rsid w:val="009D05DB"/>
    <w:rsid w:val="009D0683"/>
    <w:rsid w:val="009D06F9"/>
    <w:rsid w:val="009D0B0B"/>
    <w:rsid w:val="009D0C84"/>
    <w:rsid w:val="009D0F7D"/>
    <w:rsid w:val="009D0FDD"/>
    <w:rsid w:val="009D1464"/>
    <w:rsid w:val="009D1818"/>
    <w:rsid w:val="009D18BF"/>
    <w:rsid w:val="009D1EA8"/>
    <w:rsid w:val="009D22FD"/>
    <w:rsid w:val="009D2AB5"/>
    <w:rsid w:val="009D32E5"/>
    <w:rsid w:val="009D34CB"/>
    <w:rsid w:val="009D37C1"/>
    <w:rsid w:val="009D3AD0"/>
    <w:rsid w:val="009D3D66"/>
    <w:rsid w:val="009D414F"/>
    <w:rsid w:val="009D441C"/>
    <w:rsid w:val="009D45CD"/>
    <w:rsid w:val="009D45E7"/>
    <w:rsid w:val="009D46B0"/>
    <w:rsid w:val="009D49F8"/>
    <w:rsid w:val="009D4D13"/>
    <w:rsid w:val="009D4FC8"/>
    <w:rsid w:val="009D53D1"/>
    <w:rsid w:val="009D57F3"/>
    <w:rsid w:val="009D5BC6"/>
    <w:rsid w:val="009D5ECE"/>
    <w:rsid w:val="009D63C5"/>
    <w:rsid w:val="009D649F"/>
    <w:rsid w:val="009D691D"/>
    <w:rsid w:val="009D6CA2"/>
    <w:rsid w:val="009D6D89"/>
    <w:rsid w:val="009D76B3"/>
    <w:rsid w:val="009D776F"/>
    <w:rsid w:val="009D790A"/>
    <w:rsid w:val="009E0DB2"/>
    <w:rsid w:val="009E12DD"/>
    <w:rsid w:val="009E14D6"/>
    <w:rsid w:val="009E159D"/>
    <w:rsid w:val="009E160B"/>
    <w:rsid w:val="009E18D3"/>
    <w:rsid w:val="009E1D9A"/>
    <w:rsid w:val="009E1DDC"/>
    <w:rsid w:val="009E2918"/>
    <w:rsid w:val="009E2C7E"/>
    <w:rsid w:val="009E3625"/>
    <w:rsid w:val="009E3626"/>
    <w:rsid w:val="009E3984"/>
    <w:rsid w:val="009E4AD0"/>
    <w:rsid w:val="009E4D5D"/>
    <w:rsid w:val="009E4E81"/>
    <w:rsid w:val="009E4F9E"/>
    <w:rsid w:val="009E505D"/>
    <w:rsid w:val="009E51AD"/>
    <w:rsid w:val="009E53A2"/>
    <w:rsid w:val="009E5789"/>
    <w:rsid w:val="009E57F8"/>
    <w:rsid w:val="009E5E7F"/>
    <w:rsid w:val="009E62D7"/>
    <w:rsid w:val="009E6A0C"/>
    <w:rsid w:val="009E6A24"/>
    <w:rsid w:val="009E6B7E"/>
    <w:rsid w:val="009E6E6A"/>
    <w:rsid w:val="009E704B"/>
    <w:rsid w:val="009E729A"/>
    <w:rsid w:val="009E7510"/>
    <w:rsid w:val="009F0046"/>
    <w:rsid w:val="009F0271"/>
    <w:rsid w:val="009F03B2"/>
    <w:rsid w:val="009F0EAF"/>
    <w:rsid w:val="009F16A7"/>
    <w:rsid w:val="009F193E"/>
    <w:rsid w:val="009F19FF"/>
    <w:rsid w:val="009F28D7"/>
    <w:rsid w:val="009F2ACE"/>
    <w:rsid w:val="009F2FA9"/>
    <w:rsid w:val="009F30BC"/>
    <w:rsid w:val="009F35DE"/>
    <w:rsid w:val="009F3726"/>
    <w:rsid w:val="009F3921"/>
    <w:rsid w:val="009F3A31"/>
    <w:rsid w:val="009F3BFD"/>
    <w:rsid w:val="009F4071"/>
    <w:rsid w:val="009F4403"/>
    <w:rsid w:val="009F46C9"/>
    <w:rsid w:val="009F4713"/>
    <w:rsid w:val="009F471C"/>
    <w:rsid w:val="009F4792"/>
    <w:rsid w:val="009F4CE9"/>
    <w:rsid w:val="009F4CFD"/>
    <w:rsid w:val="009F5594"/>
    <w:rsid w:val="009F55FE"/>
    <w:rsid w:val="009F686F"/>
    <w:rsid w:val="009F6C12"/>
    <w:rsid w:val="009F6C60"/>
    <w:rsid w:val="009F74D9"/>
    <w:rsid w:val="009F75F1"/>
    <w:rsid w:val="009F76F9"/>
    <w:rsid w:val="009F7AF2"/>
    <w:rsid w:val="009F7FCA"/>
    <w:rsid w:val="00A005E2"/>
    <w:rsid w:val="00A007C3"/>
    <w:rsid w:val="00A01016"/>
    <w:rsid w:val="00A017D3"/>
    <w:rsid w:val="00A01839"/>
    <w:rsid w:val="00A01EB3"/>
    <w:rsid w:val="00A02203"/>
    <w:rsid w:val="00A02449"/>
    <w:rsid w:val="00A0252E"/>
    <w:rsid w:val="00A02A5F"/>
    <w:rsid w:val="00A02CC2"/>
    <w:rsid w:val="00A02EC7"/>
    <w:rsid w:val="00A032C4"/>
    <w:rsid w:val="00A04119"/>
    <w:rsid w:val="00A041A7"/>
    <w:rsid w:val="00A042CD"/>
    <w:rsid w:val="00A045FC"/>
    <w:rsid w:val="00A04672"/>
    <w:rsid w:val="00A047EC"/>
    <w:rsid w:val="00A04C04"/>
    <w:rsid w:val="00A05101"/>
    <w:rsid w:val="00A051FB"/>
    <w:rsid w:val="00A0532F"/>
    <w:rsid w:val="00A057FB"/>
    <w:rsid w:val="00A05BA3"/>
    <w:rsid w:val="00A05E5D"/>
    <w:rsid w:val="00A0616F"/>
    <w:rsid w:val="00A06263"/>
    <w:rsid w:val="00A067D3"/>
    <w:rsid w:val="00A06E52"/>
    <w:rsid w:val="00A06E79"/>
    <w:rsid w:val="00A07125"/>
    <w:rsid w:val="00A07249"/>
    <w:rsid w:val="00A07666"/>
    <w:rsid w:val="00A07D36"/>
    <w:rsid w:val="00A101DC"/>
    <w:rsid w:val="00A105C2"/>
    <w:rsid w:val="00A107B8"/>
    <w:rsid w:val="00A108A7"/>
    <w:rsid w:val="00A11027"/>
    <w:rsid w:val="00A11B29"/>
    <w:rsid w:val="00A11CA4"/>
    <w:rsid w:val="00A121B1"/>
    <w:rsid w:val="00A121F8"/>
    <w:rsid w:val="00A122DD"/>
    <w:rsid w:val="00A122FF"/>
    <w:rsid w:val="00A12365"/>
    <w:rsid w:val="00A12560"/>
    <w:rsid w:val="00A12572"/>
    <w:rsid w:val="00A12A93"/>
    <w:rsid w:val="00A12EC7"/>
    <w:rsid w:val="00A1387A"/>
    <w:rsid w:val="00A14548"/>
    <w:rsid w:val="00A14E2D"/>
    <w:rsid w:val="00A15CCC"/>
    <w:rsid w:val="00A15D48"/>
    <w:rsid w:val="00A15DCC"/>
    <w:rsid w:val="00A15E57"/>
    <w:rsid w:val="00A16E94"/>
    <w:rsid w:val="00A17ADB"/>
    <w:rsid w:val="00A20212"/>
    <w:rsid w:val="00A20428"/>
    <w:rsid w:val="00A21596"/>
    <w:rsid w:val="00A21EEB"/>
    <w:rsid w:val="00A222A5"/>
    <w:rsid w:val="00A2255B"/>
    <w:rsid w:val="00A22A82"/>
    <w:rsid w:val="00A22C6A"/>
    <w:rsid w:val="00A230E5"/>
    <w:rsid w:val="00A23C5B"/>
    <w:rsid w:val="00A24428"/>
    <w:rsid w:val="00A24676"/>
    <w:rsid w:val="00A24958"/>
    <w:rsid w:val="00A24C67"/>
    <w:rsid w:val="00A255A2"/>
    <w:rsid w:val="00A255FA"/>
    <w:rsid w:val="00A25860"/>
    <w:rsid w:val="00A25BB4"/>
    <w:rsid w:val="00A25F02"/>
    <w:rsid w:val="00A265EF"/>
    <w:rsid w:val="00A2687E"/>
    <w:rsid w:val="00A268AF"/>
    <w:rsid w:val="00A272B9"/>
    <w:rsid w:val="00A2755F"/>
    <w:rsid w:val="00A27B6C"/>
    <w:rsid w:val="00A27C0F"/>
    <w:rsid w:val="00A27C54"/>
    <w:rsid w:val="00A27C8A"/>
    <w:rsid w:val="00A27EF0"/>
    <w:rsid w:val="00A308FA"/>
    <w:rsid w:val="00A3115E"/>
    <w:rsid w:val="00A319BB"/>
    <w:rsid w:val="00A31B6A"/>
    <w:rsid w:val="00A31C30"/>
    <w:rsid w:val="00A31CC9"/>
    <w:rsid w:val="00A3252E"/>
    <w:rsid w:val="00A32530"/>
    <w:rsid w:val="00A33411"/>
    <w:rsid w:val="00A33951"/>
    <w:rsid w:val="00A34151"/>
    <w:rsid w:val="00A3473B"/>
    <w:rsid w:val="00A3499B"/>
    <w:rsid w:val="00A3561D"/>
    <w:rsid w:val="00A35A98"/>
    <w:rsid w:val="00A35FFD"/>
    <w:rsid w:val="00A36088"/>
    <w:rsid w:val="00A360E6"/>
    <w:rsid w:val="00A36105"/>
    <w:rsid w:val="00A362A9"/>
    <w:rsid w:val="00A363E2"/>
    <w:rsid w:val="00A365AD"/>
    <w:rsid w:val="00A36A20"/>
    <w:rsid w:val="00A36BE5"/>
    <w:rsid w:val="00A36CC1"/>
    <w:rsid w:val="00A36DF0"/>
    <w:rsid w:val="00A37479"/>
    <w:rsid w:val="00A378E5"/>
    <w:rsid w:val="00A37D75"/>
    <w:rsid w:val="00A40536"/>
    <w:rsid w:val="00A408B7"/>
    <w:rsid w:val="00A412B2"/>
    <w:rsid w:val="00A41626"/>
    <w:rsid w:val="00A4169A"/>
    <w:rsid w:val="00A41732"/>
    <w:rsid w:val="00A41940"/>
    <w:rsid w:val="00A41BD4"/>
    <w:rsid w:val="00A41FD6"/>
    <w:rsid w:val="00A4205D"/>
    <w:rsid w:val="00A42292"/>
    <w:rsid w:val="00A42AE2"/>
    <w:rsid w:val="00A42D27"/>
    <w:rsid w:val="00A42F41"/>
    <w:rsid w:val="00A434D6"/>
    <w:rsid w:val="00A438A7"/>
    <w:rsid w:val="00A438B5"/>
    <w:rsid w:val="00A43944"/>
    <w:rsid w:val="00A44047"/>
    <w:rsid w:val="00A4485C"/>
    <w:rsid w:val="00A44DF2"/>
    <w:rsid w:val="00A453C1"/>
    <w:rsid w:val="00A456EA"/>
    <w:rsid w:val="00A45D9C"/>
    <w:rsid w:val="00A4635D"/>
    <w:rsid w:val="00A4667A"/>
    <w:rsid w:val="00A4695F"/>
    <w:rsid w:val="00A46C2E"/>
    <w:rsid w:val="00A46D50"/>
    <w:rsid w:val="00A4706D"/>
    <w:rsid w:val="00A472DF"/>
    <w:rsid w:val="00A47F8C"/>
    <w:rsid w:val="00A501FD"/>
    <w:rsid w:val="00A5027F"/>
    <w:rsid w:val="00A50999"/>
    <w:rsid w:val="00A51614"/>
    <w:rsid w:val="00A5165A"/>
    <w:rsid w:val="00A518DB"/>
    <w:rsid w:val="00A51A7C"/>
    <w:rsid w:val="00A520FE"/>
    <w:rsid w:val="00A523B8"/>
    <w:rsid w:val="00A52CCC"/>
    <w:rsid w:val="00A52DCF"/>
    <w:rsid w:val="00A52F43"/>
    <w:rsid w:val="00A532A1"/>
    <w:rsid w:val="00A5337A"/>
    <w:rsid w:val="00A53A35"/>
    <w:rsid w:val="00A53B9A"/>
    <w:rsid w:val="00A547DB"/>
    <w:rsid w:val="00A54D2D"/>
    <w:rsid w:val="00A55CE8"/>
    <w:rsid w:val="00A55DBE"/>
    <w:rsid w:val="00A570AD"/>
    <w:rsid w:val="00A5712B"/>
    <w:rsid w:val="00A575C2"/>
    <w:rsid w:val="00A57746"/>
    <w:rsid w:val="00A57BBB"/>
    <w:rsid w:val="00A57ED4"/>
    <w:rsid w:val="00A57F40"/>
    <w:rsid w:val="00A604E6"/>
    <w:rsid w:val="00A60CA3"/>
    <w:rsid w:val="00A61528"/>
    <w:rsid w:val="00A615DC"/>
    <w:rsid w:val="00A61E02"/>
    <w:rsid w:val="00A62897"/>
    <w:rsid w:val="00A62A4D"/>
    <w:rsid w:val="00A62FB3"/>
    <w:rsid w:val="00A638C2"/>
    <w:rsid w:val="00A63C58"/>
    <w:rsid w:val="00A642F0"/>
    <w:rsid w:val="00A64364"/>
    <w:rsid w:val="00A64756"/>
    <w:rsid w:val="00A6491B"/>
    <w:rsid w:val="00A657DA"/>
    <w:rsid w:val="00A65BA8"/>
    <w:rsid w:val="00A664B2"/>
    <w:rsid w:val="00A668BC"/>
    <w:rsid w:val="00A66ABA"/>
    <w:rsid w:val="00A66B4F"/>
    <w:rsid w:val="00A66B83"/>
    <w:rsid w:val="00A66CB4"/>
    <w:rsid w:val="00A675FF"/>
    <w:rsid w:val="00A678DE"/>
    <w:rsid w:val="00A708F0"/>
    <w:rsid w:val="00A70D15"/>
    <w:rsid w:val="00A70ED9"/>
    <w:rsid w:val="00A71417"/>
    <w:rsid w:val="00A7198A"/>
    <w:rsid w:val="00A71F25"/>
    <w:rsid w:val="00A726DF"/>
    <w:rsid w:val="00A72AD1"/>
    <w:rsid w:val="00A72FAE"/>
    <w:rsid w:val="00A73457"/>
    <w:rsid w:val="00A73546"/>
    <w:rsid w:val="00A7367B"/>
    <w:rsid w:val="00A73817"/>
    <w:rsid w:val="00A7383F"/>
    <w:rsid w:val="00A74191"/>
    <w:rsid w:val="00A7427A"/>
    <w:rsid w:val="00A74503"/>
    <w:rsid w:val="00A74606"/>
    <w:rsid w:val="00A74794"/>
    <w:rsid w:val="00A74E8B"/>
    <w:rsid w:val="00A74E94"/>
    <w:rsid w:val="00A757B8"/>
    <w:rsid w:val="00A759DF"/>
    <w:rsid w:val="00A766DB"/>
    <w:rsid w:val="00A76B3E"/>
    <w:rsid w:val="00A76C47"/>
    <w:rsid w:val="00A7756D"/>
    <w:rsid w:val="00A803BB"/>
    <w:rsid w:val="00A804A0"/>
    <w:rsid w:val="00A806A3"/>
    <w:rsid w:val="00A807B1"/>
    <w:rsid w:val="00A807C6"/>
    <w:rsid w:val="00A81B02"/>
    <w:rsid w:val="00A81B2E"/>
    <w:rsid w:val="00A8200B"/>
    <w:rsid w:val="00A824C5"/>
    <w:rsid w:val="00A82B2E"/>
    <w:rsid w:val="00A830EB"/>
    <w:rsid w:val="00A833D4"/>
    <w:rsid w:val="00A83B9C"/>
    <w:rsid w:val="00A83BAC"/>
    <w:rsid w:val="00A83FD0"/>
    <w:rsid w:val="00A848E0"/>
    <w:rsid w:val="00A84DD1"/>
    <w:rsid w:val="00A84E25"/>
    <w:rsid w:val="00A84F98"/>
    <w:rsid w:val="00A854D2"/>
    <w:rsid w:val="00A85830"/>
    <w:rsid w:val="00A85A92"/>
    <w:rsid w:val="00A8650D"/>
    <w:rsid w:val="00A8669D"/>
    <w:rsid w:val="00A867FB"/>
    <w:rsid w:val="00A87EF6"/>
    <w:rsid w:val="00A90146"/>
    <w:rsid w:val="00A90284"/>
    <w:rsid w:val="00A90365"/>
    <w:rsid w:val="00A90668"/>
    <w:rsid w:val="00A90A0B"/>
    <w:rsid w:val="00A90E1D"/>
    <w:rsid w:val="00A910E6"/>
    <w:rsid w:val="00A911A8"/>
    <w:rsid w:val="00A913C0"/>
    <w:rsid w:val="00A91455"/>
    <w:rsid w:val="00A91552"/>
    <w:rsid w:val="00A918C8"/>
    <w:rsid w:val="00A92311"/>
    <w:rsid w:val="00A92B0F"/>
    <w:rsid w:val="00A934EA"/>
    <w:rsid w:val="00A93BB6"/>
    <w:rsid w:val="00A93F9E"/>
    <w:rsid w:val="00A94267"/>
    <w:rsid w:val="00A94BB1"/>
    <w:rsid w:val="00A94CBF"/>
    <w:rsid w:val="00A94D0B"/>
    <w:rsid w:val="00A95420"/>
    <w:rsid w:val="00A95F9B"/>
    <w:rsid w:val="00A9629D"/>
    <w:rsid w:val="00A969A8"/>
    <w:rsid w:val="00A96A1A"/>
    <w:rsid w:val="00A97693"/>
    <w:rsid w:val="00AA04C7"/>
    <w:rsid w:val="00AA120B"/>
    <w:rsid w:val="00AA14C2"/>
    <w:rsid w:val="00AA1A1C"/>
    <w:rsid w:val="00AA1AB2"/>
    <w:rsid w:val="00AA1BF7"/>
    <w:rsid w:val="00AA219F"/>
    <w:rsid w:val="00AA263D"/>
    <w:rsid w:val="00AA2699"/>
    <w:rsid w:val="00AA2861"/>
    <w:rsid w:val="00AA2A1A"/>
    <w:rsid w:val="00AA2DDF"/>
    <w:rsid w:val="00AA3413"/>
    <w:rsid w:val="00AA36B0"/>
    <w:rsid w:val="00AA38C8"/>
    <w:rsid w:val="00AA3AFE"/>
    <w:rsid w:val="00AA3B24"/>
    <w:rsid w:val="00AA3F10"/>
    <w:rsid w:val="00AA412D"/>
    <w:rsid w:val="00AA4BA6"/>
    <w:rsid w:val="00AA4FC2"/>
    <w:rsid w:val="00AA5480"/>
    <w:rsid w:val="00AA5499"/>
    <w:rsid w:val="00AA59C3"/>
    <w:rsid w:val="00AA5DC6"/>
    <w:rsid w:val="00AA63A6"/>
    <w:rsid w:val="00AA651D"/>
    <w:rsid w:val="00AA6574"/>
    <w:rsid w:val="00AA69DC"/>
    <w:rsid w:val="00AA6BE3"/>
    <w:rsid w:val="00AA6E51"/>
    <w:rsid w:val="00AA6E7C"/>
    <w:rsid w:val="00AA6EBD"/>
    <w:rsid w:val="00AA7157"/>
    <w:rsid w:val="00AA73BC"/>
    <w:rsid w:val="00AA7869"/>
    <w:rsid w:val="00AA7BCD"/>
    <w:rsid w:val="00AA7D00"/>
    <w:rsid w:val="00AB0401"/>
    <w:rsid w:val="00AB080E"/>
    <w:rsid w:val="00AB17F2"/>
    <w:rsid w:val="00AB185F"/>
    <w:rsid w:val="00AB1B9D"/>
    <w:rsid w:val="00AB330D"/>
    <w:rsid w:val="00AB33FA"/>
    <w:rsid w:val="00AB3ADC"/>
    <w:rsid w:val="00AB3D5D"/>
    <w:rsid w:val="00AB42D0"/>
    <w:rsid w:val="00AB475D"/>
    <w:rsid w:val="00AB519A"/>
    <w:rsid w:val="00AB6275"/>
    <w:rsid w:val="00AB6544"/>
    <w:rsid w:val="00AB654F"/>
    <w:rsid w:val="00AB6884"/>
    <w:rsid w:val="00AB6D83"/>
    <w:rsid w:val="00AB70B2"/>
    <w:rsid w:val="00AB79D7"/>
    <w:rsid w:val="00AB7BC4"/>
    <w:rsid w:val="00AB7CCF"/>
    <w:rsid w:val="00AB7F59"/>
    <w:rsid w:val="00AC0780"/>
    <w:rsid w:val="00AC0DDC"/>
    <w:rsid w:val="00AC1028"/>
    <w:rsid w:val="00AC12A6"/>
    <w:rsid w:val="00AC13D1"/>
    <w:rsid w:val="00AC14E8"/>
    <w:rsid w:val="00AC1B1E"/>
    <w:rsid w:val="00AC1CE2"/>
    <w:rsid w:val="00AC1E95"/>
    <w:rsid w:val="00AC2018"/>
    <w:rsid w:val="00AC20E3"/>
    <w:rsid w:val="00AC29C7"/>
    <w:rsid w:val="00AC2A92"/>
    <w:rsid w:val="00AC3055"/>
    <w:rsid w:val="00AC305B"/>
    <w:rsid w:val="00AC3261"/>
    <w:rsid w:val="00AC334C"/>
    <w:rsid w:val="00AC356C"/>
    <w:rsid w:val="00AC416B"/>
    <w:rsid w:val="00AC4264"/>
    <w:rsid w:val="00AC44C1"/>
    <w:rsid w:val="00AC44D5"/>
    <w:rsid w:val="00AC48D6"/>
    <w:rsid w:val="00AC5779"/>
    <w:rsid w:val="00AC5E7B"/>
    <w:rsid w:val="00AC603F"/>
    <w:rsid w:val="00AC65DC"/>
    <w:rsid w:val="00AC6806"/>
    <w:rsid w:val="00AC6922"/>
    <w:rsid w:val="00AC69BB"/>
    <w:rsid w:val="00AC6C80"/>
    <w:rsid w:val="00AC7171"/>
    <w:rsid w:val="00AC75CC"/>
    <w:rsid w:val="00AC7E92"/>
    <w:rsid w:val="00AD0983"/>
    <w:rsid w:val="00AD0B87"/>
    <w:rsid w:val="00AD0FBE"/>
    <w:rsid w:val="00AD1B8A"/>
    <w:rsid w:val="00AD2091"/>
    <w:rsid w:val="00AD2867"/>
    <w:rsid w:val="00AD28F2"/>
    <w:rsid w:val="00AD2B10"/>
    <w:rsid w:val="00AD2BD6"/>
    <w:rsid w:val="00AD3031"/>
    <w:rsid w:val="00AD36F0"/>
    <w:rsid w:val="00AD3924"/>
    <w:rsid w:val="00AD39AD"/>
    <w:rsid w:val="00AD45E7"/>
    <w:rsid w:val="00AD47F3"/>
    <w:rsid w:val="00AD482A"/>
    <w:rsid w:val="00AD4A77"/>
    <w:rsid w:val="00AD5D6A"/>
    <w:rsid w:val="00AD5E9E"/>
    <w:rsid w:val="00AD5ECC"/>
    <w:rsid w:val="00AD6086"/>
    <w:rsid w:val="00AD6167"/>
    <w:rsid w:val="00AD6195"/>
    <w:rsid w:val="00AD65FC"/>
    <w:rsid w:val="00AD6634"/>
    <w:rsid w:val="00AD66F8"/>
    <w:rsid w:val="00AD67C3"/>
    <w:rsid w:val="00AD68C0"/>
    <w:rsid w:val="00AD6AC8"/>
    <w:rsid w:val="00AD6B1E"/>
    <w:rsid w:val="00AD6E1B"/>
    <w:rsid w:val="00AD6EB7"/>
    <w:rsid w:val="00AD78E7"/>
    <w:rsid w:val="00AD7C6C"/>
    <w:rsid w:val="00AD7EC4"/>
    <w:rsid w:val="00AD7FB6"/>
    <w:rsid w:val="00AE006F"/>
    <w:rsid w:val="00AE0B27"/>
    <w:rsid w:val="00AE0C77"/>
    <w:rsid w:val="00AE1DBA"/>
    <w:rsid w:val="00AE253F"/>
    <w:rsid w:val="00AE3548"/>
    <w:rsid w:val="00AE379F"/>
    <w:rsid w:val="00AE398B"/>
    <w:rsid w:val="00AE3A24"/>
    <w:rsid w:val="00AE412E"/>
    <w:rsid w:val="00AE4158"/>
    <w:rsid w:val="00AE47AF"/>
    <w:rsid w:val="00AE49D1"/>
    <w:rsid w:val="00AE4A50"/>
    <w:rsid w:val="00AE568A"/>
    <w:rsid w:val="00AE596D"/>
    <w:rsid w:val="00AE5BC3"/>
    <w:rsid w:val="00AE5D25"/>
    <w:rsid w:val="00AE6124"/>
    <w:rsid w:val="00AE6348"/>
    <w:rsid w:val="00AE65FA"/>
    <w:rsid w:val="00AE6EBD"/>
    <w:rsid w:val="00AE7370"/>
    <w:rsid w:val="00AE771D"/>
    <w:rsid w:val="00AE7724"/>
    <w:rsid w:val="00AF02C9"/>
    <w:rsid w:val="00AF0B7C"/>
    <w:rsid w:val="00AF0EE9"/>
    <w:rsid w:val="00AF0EF3"/>
    <w:rsid w:val="00AF11E1"/>
    <w:rsid w:val="00AF1AF3"/>
    <w:rsid w:val="00AF1F5D"/>
    <w:rsid w:val="00AF2718"/>
    <w:rsid w:val="00AF287E"/>
    <w:rsid w:val="00AF2FB0"/>
    <w:rsid w:val="00AF3263"/>
    <w:rsid w:val="00AF32F7"/>
    <w:rsid w:val="00AF37C7"/>
    <w:rsid w:val="00AF3935"/>
    <w:rsid w:val="00AF43BA"/>
    <w:rsid w:val="00AF46EE"/>
    <w:rsid w:val="00AF4C69"/>
    <w:rsid w:val="00AF50A8"/>
    <w:rsid w:val="00AF526F"/>
    <w:rsid w:val="00AF53F1"/>
    <w:rsid w:val="00AF5596"/>
    <w:rsid w:val="00AF569B"/>
    <w:rsid w:val="00AF5E0A"/>
    <w:rsid w:val="00AF61FA"/>
    <w:rsid w:val="00AF69E4"/>
    <w:rsid w:val="00AF7076"/>
    <w:rsid w:val="00AF76A2"/>
    <w:rsid w:val="00B0159E"/>
    <w:rsid w:val="00B016F3"/>
    <w:rsid w:val="00B01719"/>
    <w:rsid w:val="00B01B42"/>
    <w:rsid w:val="00B01CD6"/>
    <w:rsid w:val="00B0230E"/>
    <w:rsid w:val="00B02564"/>
    <w:rsid w:val="00B027F9"/>
    <w:rsid w:val="00B02F8D"/>
    <w:rsid w:val="00B03643"/>
    <w:rsid w:val="00B03CA0"/>
    <w:rsid w:val="00B03DB6"/>
    <w:rsid w:val="00B062A3"/>
    <w:rsid w:val="00B0643B"/>
    <w:rsid w:val="00B064E1"/>
    <w:rsid w:val="00B06889"/>
    <w:rsid w:val="00B068BA"/>
    <w:rsid w:val="00B06AE8"/>
    <w:rsid w:val="00B07106"/>
    <w:rsid w:val="00B072B7"/>
    <w:rsid w:val="00B072BB"/>
    <w:rsid w:val="00B07311"/>
    <w:rsid w:val="00B0767C"/>
    <w:rsid w:val="00B07819"/>
    <w:rsid w:val="00B07831"/>
    <w:rsid w:val="00B078FC"/>
    <w:rsid w:val="00B07C69"/>
    <w:rsid w:val="00B07D84"/>
    <w:rsid w:val="00B1030E"/>
    <w:rsid w:val="00B10354"/>
    <w:rsid w:val="00B105C4"/>
    <w:rsid w:val="00B109E5"/>
    <w:rsid w:val="00B10BA1"/>
    <w:rsid w:val="00B11065"/>
    <w:rsid w:val="00B114F7"/>
    <w:rsid w:val="00B11588"/>
    <w:rsid w:val="00B1201D"/>
    <w:rsid w:val="00B122AF"/>
    <w:rsid w:val="00B12410"/>
    <w:rsid w:val="00B1251D"/>
    <w:rsid w:val="00B12819"/>
    <w:rsid w:val="00B1282C"/>
    <w:rsid w:val="00B13285"/>
    <w:rsid w:val="00B13325"/>
    <w:rsid w:val="00B138D2"/>
    <w:rsid w:val="00B139CC"/>
    <w:rsid w:val="00B13C04"/>
    <w:rsid w:val="00B14102"/>
    <w:rsid w:val="00B141BF"/>
    <w:rsid w:val="00B142C3"/>
    <w:rsid w:val="00B1463B"/>
    <w:rsid w:val="00B147CA"/>
    <w:rsid w:val="00B14BB9"/>
    <w:rsid w:val="00B14C14"/>
    <w:rsid w:val="00B15064"/>
    <w:rsid w:val="00B1575C"/>
    <w:rsid w:val="00B158AF"/>
    <w:rsid w:val="00B159FE"/>
    <w:rsid w:val="00B15AA2"/>
    <w:rsid w:val="00B15B35"/>
    <w:rsid w:val="00B15F13"/>
    <w:rsid w:val="00B163CF"/>
    <w:rsid w:val="00B169BE"/>
    <w:rsid w:val="00B16BC6"/>
    <w:rsid w:val="00B16DA1"/>
    <w:rsid w:val="00B16EC1"/>
    <w:rsid w:val="00B16FC9"/>
    <w:rsid w:val="00B17528"/>
    <w:rsid w:val="00B1752A"/>
    <w:rsid w:val="00B1767E"/>
    <w:rsid w:val="00B17A22"/>
    <w:rsid w:val="00B17D33"/>
    <w:rsid w:val="00B17FAB"/>
    <w:rsid w:val="00B200AD"/>
    <w:rsid w:val="00B20471"/>
    <w:rsid w:val="00B204C3"/>
    <w:rsid w:val="00B204E8"/>
    <w:rsid w:val="00B20D2C"/>
    <w:rsid w:val="00B2157A"/>
    <w:rsid w:val="00B21D7F"/>
    <w:rsid w:val="00B224D6"/>
    <w:rsid w:val="00B226C8"/>
    <w:rsid w:val="00B2282B"/>
    <w:rsid w:val="00B22DD8"/>
    <w:rsid w:val="00B22F15"/>
    <w:rsid w:val="00B22F26"/>
    <w:rsid w:val="00B231DC"/>
    <w:rsid w:val="00B2368E"/>
    <w:rsid w:val="00B24031"/>
    <w:rsid w:val="00B24270"/>
    <w:rsid w:val="00B246EB"/>
    <w:rsid w:val="00B2481B"/>
    <w:rsid w:val="00B24D50"/>
    <w:rsid w:val="00B25296"/>
    <w:rsid w:val="00B25318"/>
    <w:rsid w:val="00B258F4"/>
    <w:rsid w:val="00B25FC1"/>
    <w:rsid w:val="00B263FF"/>
    <w:rsid w:val="00B26ECF"/>
    <w:rsid w:val="00B2706B"/>
    <w:rsid w:val="00B27182"/>
    <w:rsid w:val="00B27960"/>
    <w:rsid w:val="00B27DDB"/>
    <w:rsid w:val="00B27F9D"/>
    <w:rsid w:val="00B27FD0"/>
    <w:rsid w:val="00B3042B"/>
    <w:rsid w:val="00B30E59"/>
    <w:rsid w:val="00B310AF"/>
    <w:rsid w:val="00B31191"/>
    <w:rsid w:val="00B3158F"/>
    <w:rsid w:val="00B326F1"/>
    <w:rsid w:val="00B32827"/>
    <w:rsid w:val="00B32A0C"/>
    <w:rsid w:val="00B32B49"/>
    <w:rsid w:val="00B32BF4"/>
    <w:rsid w:val="00B33168"/>
    <w:rsid w:val="00B3320E"/>
    <w:rsid w:val="00B33C0E"/>
    <w:rsid w:val="00B33ED8"/>
    <w:rsid w:val="00B33F86"/>
    <w:rsid w:val="00B340A6"/>
    <w:rsid w:val="00B34448"/>
    <w:rsid w:val="00B34CFC"/>
    <w:rsid w:val="00B34EEC"/>
    <w:rsid w:val="00B3518A"/>
    <w:rsid w:val="00B3549B"/>
    <w:rsid w:val="00B36226"/>
    <w:rsid w:val="00B363DA"/>
    <w:rsid w:val="00B36BF4"/>
    <w:rsid w:val="00B36E93"/>
    <w:rsid w:val="00B37047"/>
    <w:rsid w:val="00B37793"/>
    <w:rsid w:val="00B37C73"/>
    <w:rsid w:val="00B37E10"/>
    <w:rsid w:val="00B403B2"/>
    <w:rsid w:val="00B4070A"/>
    <w:rsid w:val="00B407FA"/>
    <w:rsid w:val="00B4084A"/>
    <w:rsid w:val="00B40A7A"/>
    <w:rsid w:val="00B40AAA"/>
    <w:rsid w:val="00B41042"/>
    <w:rsid w:val="00B4139E"/>
    <w:rsid w:val="00B41760"/>
    <w:rsid w:val="00B425DA"/>
    <w:rsid w:val="00B42924"/>
    <w:rsid w:val="00B429FA"/>
    <w:rsid w:val="00B42B0C"/>
    <w:rsid w:val="00B42EF2"/>
    <w:rsid w:val="00B432C5"/>
    <w:rsid w:val="00B432EC"/>
    <w:rsid w:val="00B43327"/>
    <w:rsid w:val="00B4333B"/>
    <w:rsid w:val="00B43558"/>
    <w:rsid w:val="00B437D0"/>
    <w:rsid w:val="00B437DB"/>
    <w:rsid w:val="00B43D48"/>
    <w:rsid w:val="00B43D9E"/>
    <w:rsid w:val="00B43E8F"/>
    <w:rsid w:val="00B44681"/>
    <w:rsid w:val="00B446FF"/>
    <w:rsid w:val="00B44BA4"/>
    <w:rsid w:val="00B4553A"/>
    <w:rsid w:val="00B45859"/>
    <w:rsid w:val="00B46FFB"/>
    <w:rsid w:val="00B4793E"/>
    <w:rsid w:val="00B47ACC"/>
    <w:rsid w:val="00B50039"/>
    <w:rsid w:val="00B50056"/>
    <w:rsid w:val="00B504B3"/>
    <w:rsid w:val="00B505C8"/>
    <w:rsid w:val="00B5068C"/>
    <w:rsid w:val="00B50692"/>
    <w:rsid w:val="00B50DB7"/>
    <w:rsid w:val="00B50F06"/>
    <w:rsid w:val="00B512D2"/>
    <w:rsid w:val="00B5156C"/>
    <w:rsid w:val="00B5178C"/>
    <w:rsid w:val="00B51A09"/>
    <w:rsid w:val="00B51AC5"/>
    <w:rsid w:val="00B51D00"/>
    <w:rsid w:val="00B51D35"/>
    <w:rsid w:val="00B53215"/>
    <w:rsid w:val="00B5334E"/>
    <w:rsid w:val="00B538DC"/>
    <w:rsid w:val="00B53C86"/>
    <w:rsid w:val="00B542AA"/>
    <w:rsid w:val="00B54325"/>
    <w:rsid w:val="00B54598"/>
    <w:rsid w:val="00B545DD"/>
    <w:rsid w:val="00B54F4A"/>
    <w:rsid w:val="00B55FA8"/>
    <w:rsid w:val="00B55FF6"/>
    <w:rsid w:val="00B56298"/>
    <w:rsid w:val="00B566D6"/>
    <w:rsid w:val="00B56707"/>
    <w:rsid w:val="00B56B8B"/>
    <w:rsid w:val="00B56CCF"/>
    <w:rsid w:val="00B56E90"/>
    <w:rsid w:val="00B573DB"/>
    <w:rsid w:val="00B574DF"/>
    <w:rsid w:val="00B57A2E"/>
    <w:rsid w:val="00B57A99"/>
    <w:rsid w:val="00B57E0F"/>
    <w:rsid w:val="00B60204"/>
    <w:rsid w:val="00B60F1A"/>
    <w:rsid w:val="00B6192D"/>
    <w:rsid w:val="00B61F18"/>
    <w:rsid w:val="00B61FF3"/>
    <w:rsid w:val="00B625E7"/>
    <w:rsid w:val="00B62CCE"/>
    <w:rsid w:val="00B63299"/>
    <w:rsid w:val="00B63A0B"/>
    <w:rsid w:val="00B63E9C"/>
    <w:rsid w:val="00B63FF4"/>
    <w:rsid w:val="00B64492"/>
    <w:rsid w:val="00B64870"/>
    <w:rsid w:val="00B64CE7"/>
    <w:rsid w:val="00B652C9"/>
    <w:rsid w:val="00B65AA1"/>
    <w:rsid w:val="00B65CBB"/>
    <w:rsid w:val="00B65D64"/>
    <w:rsid w:val="00B65D6E"/>
    <w:rsid w:val="00B660AC"/>
    <w:rsid w:val="00B665FD"/>
    <w:rsid w:val="00B66C45"/>
    <w:rsid w:val="00B66C95"/>
    <w:rsid w:val="00B66CDA"/>
    <w:rsid w:val="00B673D0"/>
    <w:rsid w:val="00B6765F"/>
    <w:rsid w:val="00B676E4"/>
    <w:rsid w:val="00B67DEB"/>
    <w:rsid w:val="00B67F12"/>
    <w:rsid w:val="00B67F9A"/>
    <w:rsid w:val="00B700C7"/>
    <w:rsid w:val="00B703B7"/>
    <w:rsid w:val="00B70935"/>
    <w:rsid w:val="00B70A0F"/>
    <w:rsid w:val="00B70B00"/>
    <w:rsid w:val="00B70C16"/>
    <w:rsid w:val="00B70E63"/>
    <w:rsid w:val="00B70F68"/>
    <w:rsid w:val="00B71156"/>
    <w:rsid w:val="00B711E2"/>
    <w:rsid w:val="00B71738"/>
    <w:rsid w:val="00B719A5"/>
    <w:rsid w:val="00B71CF4"/>
    <w:rsid w:val="00B71FD8"/>
    <w:rsid w:val="00B7213B"/>
    <w:rsid w:val="00B726F7"/>
    <w:rsid w:val="00B72A0E"/>
    <w:rsid w:val="00B7359C"/>
    <w:rsid w:val="00B73601"/>
    <w:rsid w:val="00B73747"/>
    <w:rsid w:val="00B738F3"/>
    <w:rsid w:val="00B73E52"/>
    <w:rsid w:val="00B74F9F"/>
    <w:rsid w:val="00B752BE"/>
    <w:rsid w:val="00B752BF"/>
    <w:rsid w:val="00B75C1F"/>
    <w:rsid w:val="00B76751"/>
    <w:rsid w:val="00B76FB6"/>
    <w:rsid w:val="00B770EA"/>
    <w:rsid w:val="00B777EF"/>
    <w:rsid w:val="00B77CFE"/>
    <w:rsid w:val="00B77D57"/>
    <w:rsid w:val="00B77F35"/>
    <w:rsid w:val="00B8049E"/>
    <w:rsid w:val="00B804A6"/>
    <w:rsid w:val="00B80BFD"/>
    <w:rsid w:val="00B80F0C"/>
    <w:rsid w:val="00B80F64"/>
    <w:rsid w:val="00B80FE7"/>
    <w:rsid w:val="00B81168"/>
    <w:rsid w:val="00B811BD"/>
    <w:rsid w:val="00B81E67"/>
    <w:rsid w:val="00B828E6"/>
    <w:rsid w:val="00B82A9C"/>
    <w:rsid w:val="00B82CC7"/>
    <w:rsid w:val="00B82D53"/>
    <w:rsid w:val="00B82E8C"/>
    <w:rsid w:val="00B836B0"/>
    <w:rsid w:val="00B839C7"/>
    <w:rsid w:val="00B83A7A"/>
    <w:rsid w:val="00B8401D"/>
    <w:rsid w:val="00B840BB"/>
    <w:rsid w:val="00B84484"/>
    <w:rsid w:val="00B8491B"/>
    <w:rsid w:val="00B84C2B"/>
    <w:rsid w:val="00B8569E"/>
    <w:rsid w:val="00B860A1"/>
    <w:rsid w:val="00B864EF"/>
    <w:rsid w:val="00B86D5C"/>
    <w:rsid w:val="00B86E50"/>
    <w:rsid w:val="00B870DA"/>
    <w:rsid w:val="00B8712C"/>
    <w:rsid w:val="00B876EB"/>
    <w:rsid w:val="00B87AB0"/>
    <w:rsid w:val="00B87B3E"/>
    <w:rsid w:val="00B87D58"/>
    <w:rsid w:val="00B87E89"/>
    <w:rsid w:val="00B90445"/>
    <w:rsid w:val="00B91864"/>
    <w:rsid w:val="00B9193C"/>
    <w:rsid w:val="00B920A1"/>
    <w:rsid w:val="00B922D6"/>
    <w:rsid w:val="00B92683"/>
    <w:rsid w:val="00B92C0F"/>
    <w:rsid w:val="00B92D6E"/>
    <w:rsid w:val="00B942B3"/>
    <w:rsid w:val="00B945CA"/>
    <w:rsid w:val="00B9493D"/>
    <w:rsid w:val="00B949EC"/>
    <w:rsid w:val="00B94C00"/>
    <w:rsid w:val="00B94C74"/>
    <w:rsid w:val="00B957FC"/>
    <w:rsid w:val="00B95D3E"/>
    <w:rsid w:val="00B960AF"/>
    <w:rsid w:val="00B960C9"/>
    <w:rsid w:val="00B963DF"/>
    <w:rsid w:val="00B96437"/>
    <w:rsid w:val="00B96790"/>
    <w:rsid w:val="00B97264"/>
    <w:rsid w:val="00B973C1"/>
    <w:rsid w:val="00B97B3C"/>
    <w:rsid w:val="00BA0019"/>
    <w:rsid w:val="00BA0573"/>
    <w:rsid w:val="00BA08F1"/>
    <w:rsid w:val="00BA0C20"/>
    <w:rsid w:val="00BA0C98"/>
    <w:rsid w:val="00BA16AE"/>
    <w:rsid w:val="00BA187B"/>
    <w:rsid w:val="00BA1A74"/>
    <w:rsid w:val="00BA1A76"/>
    <w:rsid w:val="00BA1ACB"/>
    <w:rsid w:val="00BA1EC0"/>
    <w:rsid w:val="00BA207C"/>
    <w:rsid w:val="00BA2436"/>
    <w:rsid w:val="00BA294C"/>
    <w:rsid w:val="00BA2A3E"/>
    <w:rsid w:val="00BA2DB7"/>
    <w:rsid w:val="00BA302D"/>
    <w:rsid w:val="00BA391E"/>
    <w:rsid w:val="00BA392A"/>
    <w:rsid w:val="00BA47E9"/>
    <w:rsid w:val="00BA5037"/>
    <w:rsid w:val="00BA5857"/>
    <w:rsid w:val="00BA5AD0"/>
    <w:rsid w:val="00BA5B3B"/>
    <w:rsid w:val="00BA62FF"/>
    <w:rsid w:val="00BA6E2D"/>
    <w:rsid w:val="00BA6E65"/>
    <w:rsid w:val="00BA79FD"/>
    <w:rsid w:val="00BB01BF"/>
    <w:rsid w:val="00BB051B"/>
    <w:rsid w:val="00BB0702"/>
    <w:rsid w:val="00BB07FB"/>
    <w:rsid w:val="00BB1552"/>
    <w:rsid w:val="00BB1CA0"/>
    <w:rsid w:val="00BB1D7F"/>
    <w:rsid w:val="00BB2485"/>
    <w:rsid w:val="00BB25D6"/>
    <w:rsid w:val="00BB293E"/>
    <w:rsid w:val="00BB2EC4"/>
    <w:rsid w:val="00BB3A76"/>
    <w:rsid w:val="00BB458E"/>
    <w:rsid w:val="00BB4C4E"/>
    <w:rsid w:val="00BB4FA1"/>
    <w:rsid w:val="00BB5E64"/>
    <w:rsid w:val="00BB72B0"/>
    <w:rsid w:val="00BB7481"/>
    <w:rsid w:val="00BB7B0C"/>
    <w:rsid w:val="00BB7DFB"/>
    <w:rsid w:val="00BC0026"/>
    <w:rsid w:val="00BC0327"/>
    <w:rsid w:val="00BC07F5"/>
    <w:rsid w:val="00BC0B2D"/>
    <w:rsid w:val="00BC0E9B"/>
    <w:rsid w:val="00BC0FBF"/>
    <w:rsid w:val="00BC11A4"/>
    <w:rsid w:val="00BC11CE"/>
    <w:rsid w:val="00BC1FF5"/>
    <w:rsid w:val="00BC2241"/>
    <w:rsid w:val="00BC22BA"/>
    <w:rsid w:val="00BC2513"/>
    <w:rsid w:val="00BC2555"/>
    <w:rsid w:val="00BC26EE"/>
    <w:rsid w:val="00BC27BF"/>
    <w:rsid w:val="00BC2BEA"/>
    <w:rsid w:val="00BC2D33"/>
    <w:rsid w:val="00BC2EB5"/>
    <w:rsid w:val="00BC3C7C"/>
    <w:rsid w:val="00BC4146"/>
    <w:rsid w:val="00BC4376"/>
    <w:rsid w:val="00BC4662"/>
    <w:rsid w:val="00BC4BDE"/>
    <w:rsid w:val="00BC4C2E"/>
    <w:rsid w:val="00BC5627"/>
    <w:rsid w:val="00BC5B20"/>
    <w:rsid w:val="00BC61A2"/>
    <w:rsid w:val="00BC6403"/>
    <w:rsid w:val="00BC6869"/>
    <w:rsid w:val="00BC6D77"/>
    <w:rsid w:val="00BC7283"/>
    <w:rsid w:val="00BC74EA"/>
    <w:rsid w:val="00BC77C2"/>
    <w:rsid w:val="00BC7A44"/>
    <w:rsid w:val="00BC7A64"/>
    <w:rsid w:val="00BC7EE5"/>
    <w:rsid w:val="00BC7FD8"/>
    <w:rsid w:val="00BD0946"/>
    <w:rsid w:val="00BD0D94"/>
    <w:rsid w:val="00BD12FA"/>
    <w:rsid w:val="00BD17B3"/>
    <w:rsid w:val="00BD1AA9"/>
    <w:rsid w:val="00BD1ABF"/>
    <w:rsid w:val="00BD2160"/>
    <w:rsid w:val="00BD2554"/>
    <w:rsid w:val="00BD26A4"/>
    <w:rsid w:val="00BD2CF7"/>
    <w:rsid w:val="00BD307F"/>
    <w:rsid w:val="00BD329C"/>
    <w:rsid w:val="00BD359E"/>
    <w:rsid w:val="00BD39CE"/>
    <w:rsid w:val="00BD3FA3"/>
    <w:rsid w:val="00BD414C"/>
    <w:rsid w:val="00BD4241"/>
    <w:rsid w:val="00BD4354"/>
    <w:rsid w:val="00BD4580"/>
    <w:rsid w:val="00BD4844"/>
    <w:rsid w:val="00BD4E88"/>
    <w:rsid w:val="00BD509B"/>
    <w:rsid w:val="00BD57C7"/>
    <w:rsid w:val="00BD57DD"/>
    <w:rsid w:val="00BD5F3D"/>
    <w:rsid w:val="00BD6667"/>
    <w:rsid w:val="00BD69C5"/>
    <w:rsid w:val="00BD6EB6"/>
    <w:rsid w:val="00BD6F23"/>
    <w:rsid w:val="00BD7554"/>
    <w:rsid w:val="00BD7E15"/>
    <w:rsid w:val="00BE0028"/>
    <w:rsid w:val="00BE05BB"/>
    <w:rsid w:val="00BE05C6"/>
    <w:rsid w:val="00BE0BAB"/>
    <w:rsid w:val="00BE0EA0"/>
    <w:rsid w:val="00BE11F4"/>
    <w:rsid w:val="00BE18FB"/>
    <w:rsid w:val="00BE1FF3"/>
    <w:rsid w:val="00BE251F"/>
    <w:rsid w:val="00BE319E"/>
    <w:rsid w:val="00BE3458"/>
    <w:rsid w:val="00BE35B2"/>
    <w:rsid w:val="00BE39AF"/>
    <w:rsid w:val="00BE3DC6"/>
    <w:rsid w:val="00BE4151"/>
    <w:rsid w:val="00BE437A"/>
    <w:rsid w:val="00BE45AD"/>
    <w:rsid w:val="00BE4837"/>
    <w:rsid w:val="00BE488C"/>
    <w:rsid w:val="00BE4F08"/>
    <w:rsid w:val="00BE581D"/>
    <w:rsid w:val="00BE5C89"/>
    <w:rsid w:val="00BE5DCF"/>
    <w:rsid w:val="00BE5E41"/>
    <w:rsid w:val="00BE5E83"/>
    <w:rsid w:val="00BE5F47"/>
    <w:rsid w:val="00BE6176"/>
    <w:rsid w:val="00BE63C5"/>
    <w:rsid w:val="00BE6D9C"/>
    <w:rsid w:val="00BE7392"/>
    <w:rsid w:val="00BE774E"/>
    <w:rsid w:val="00BE7B00"/>
    <w:rsid w:val="00BF0000"/>
    <w:rsid w:val="00BF08F8"/>
    <w:rsid w:val="00BF0918"/>
    <w:rsid w:val="00BF0B70"/>
    <w:rsid w:val="00BF109A"/>
    <w:rsid w:val="00BF1552"/>
    <w:rsid w:val="00BF188B"/>
    <w:rsid w:val="00BF18B4"/>
    <w:rsid w:val="00BF1A7F"/>
    <w:rsid w:val="00BF2341"/>
    <w:rsid w:val="00BF287A"/>
    <w:rsid w:val="00BF28C7"/>
    <w:rsid w:val="00BF2C58"/>
    <w:rsid w:val="00BF2CAE"/>
    <w:rsid w:val="00BF2ED3"/>
    <w:rsid w:val="00BF2F27"/>
    <w:rsid w:val="00BF2FC5"/>
    <w:rsid w:val="00BF39C9"/>
    <w:rsid w:val="00BF4421"/>
    <w:rsid w:val="00BF4786"/>
    <w:rsid w:val="00BF5003"/>
    <w:rsid w:val="00BF520D"/>
    <w:rsid w:val="00BF560D"/>
    <w:rsid w:val="00BF5A7A"/>
    <w:rsid w:val="00BF5C72"/>
    <w:rsid w:val="00BF5E28"/>
    <w:rsid w:val="00BF6154"/>
    <w:rsid w:val="00BF61F3"/>
    <w:rsid w:val="00BF6277"/>
    <w:rsid w:val="00BF633E"/>
    <w:rsid w:val="00BF65CB"/>
    <w:rsid w:val="00BF6E05"/>
    <w:rsid w:val="00BF77D8"/>
    <w:rsid w:val="00BF7990"/>
    <w:rsid w:val="00C00A46"/>
    <w:rsid w:val="00C00B4E"/>
    <w:rsid w:val="00C00E0A"/>
    <w:rsid w:val="00C00E87"/>
    <w:rsid w:val="00C01A74"/>
    <w:rsid w:val="00C01B7A"/>
    <w:rsid w:val="00C01DAA"/>
    <w:rsid w:val="00C023A7"/>
    <w:rsid w:val="00C02505"/>
    <w:rsid w:val="00C02751"/>
    <w:rsid w:val="00C02860"/>
    <w:rsid w:val="00C029A9"/>
    <w:rsid w:val="00C02ABD"/>
    <w:rsid w:val="00C02DA2"/>
    <w:rsid w:val="00C033B0"/>
    <w:rsid w:val="00C033F3"/>
    <w:rsid w:val="00C0347D"/>
    <w:rsid w:val="00C036C1"/>
    <w:rsid w:val="00C039EF"/>
    <w:rsid w:val="00C043F5"/>
    <w:rsid w:val="00C046AE"/>
    <w:rsid w:val="00C0470C"/>
    <w:rsid w:val="00C049B4"/>
    <w:rsid w:val="00C04E7C"/>
    <w:rsid w:val="00C05D23"/>
    <w:rsid w:val="00C05D79"/>
    <w:rsid w:val="00C069E3"/>
    <w:rsid w:val="00C06BD0"/>
    <w:rsid w:val="00C06C0C"/>
    <w:rsid w:val="00C06D48"/>
    <w:rsid w:val="00C06E17"/>
    <w:rsid w:val="00C06E25"/>
    <w:rsid w:val="00C06F1B"/>
    <w:rsid w:val="00C07495"/>
    <w:rsid w:val="00C07504"/>
    <w:rsid w:val="00C077AE"/>
    <w:rsid w:val="00C07EF4"/>
    <w:rsid w:val="00C10038"/>
    <w:rsid w:val="00C107FC"/>
    <w:rsid w:val="00C10872"/>
    <w:rsid w:val="00C109F6"/>
    <w:rsid w:val="00C11025"/>
    <w:rsid w:val="00C117CD"/>
    <w:rsid w:val="00C11906"/>
    <w:rsid w:val="00C127AA"/>
    <w:rsid w:val="00C12869"/>
    <w:rsid w:val="00C12DC4"/>
    <w:rsid w:val="00C13630"/>
    <w:rsid w:val="00C13AA7"/>
    <w:rsid w:val="00C13E4F"/>
    <w:rsid w:val="00C14A42"/>
    <w:rsid w:val="00C15055"/>
    <w:rsid w:val="00C15162"/>
    <w:rsid w:val="00C15413"/>
    <w:rsid w:val="00C160DB"/>
    <w:rsid w:val="00C16541"/>
    <w:rsid w:val="00C16813"/>
    <w:rsid w:val="00C16A76"/>
    <w:rsid w:val="00C16D55"/>
    <w:rsid w:val="00C16D5A"/>
    <w:rsid w:val="00C16F17"/>
    <w:rsid w:val="00C1745F"/>
    <w:rsid w:val="00C179D4"/>
    <w:rsid w:val="00C201A6"/>
    <w:rsid w:val="00C21033"/>
    <w:rsid w:val="00C215A2"/>
    <w:rsid w:val="00C2198E"/>
    <w:rsid w:val="00C22E71"/>
    <w:rsid w:val="00C23196"/>
    <w:rsid w:val="00C234DC"/>
    <w:rsid w:val="00C23D1B"/>
    <w:rsid w:val="00C25299"/>
    <w:rsid w:val="00C253F8"/>
    <w:rsid w:val="00C25511"/>
    <w:rsid w:val="00C256E5"/>
    <w:rsid w:val="00C2570B"/>
    <w:rsid w:val="00C2587A"/>
    <w:rsid w:val="00C2588E"/>
    <w:rsid w:val="00C25E2C"/>
    <w:rsid w:val="00C26984"/>
    <w:rsid w:val="00C26DAD"/>
    <w:rsid w:val="00C2730F"/>
    <w:rsid w:val="00C27AAF"/>
    <w:rsid w:val="00C27AB0"/>
    <w:rsid w:val="00C27D62"/>
    <w:rsid w:val="00C30113"/>
    <w:rsid w:val="00C3029F"/>
    <w:rsid w:val="00C31298"/>
    <w:rsid w:val="00C3142C"/>
    <w:rsid w:val="00C319AE"/>
    <w:rsid w:val="00C31A4F"/>
    <w:rsid w:val="00C323C2"/>
    <w:rsid w:val="00C32470"/>
    <w:rsid w:val="00C3264D"/>
    <w:rsid w:val="00C328CA"/>
    <w:rsid w:val="00C32A4C"/>
    <w:rsid w:val="00C32B57"/>
    <w:rsid w:val="00C33312"/>
    <w:rsid w:val="00C33542"/>
    <w:rsid w:val="00C335AB"/>
    <w:rsid w:val="00C33818"/>
    <w:rsid w:val="00C339FE"/>
    <w:rsid w:val="00C340B9"/>
    <w:rsid w:val="00C3433B"/>
    <w:rsid w:val="00C34498"/>
    <w:rsid w:val="00C344DF"/>
    <w:rsid w:val="00C34D47"/>
    <w:rsid w:val="00C3506C"/>
    <w:rsid w:val="00C353C1"/>
    <w:rsid w:val="00C358B2"/>
    <w:rsid w:val="00C365A1"/>
    <w:rsid w:val="00C36FB2"/>
    <w:rsid w:val="00C373DF"/>
    <w:rsid w:val="00C37C88"/>
    <w:rsid w:val="00C37D94"/>
    <w:rsid w:val="00C37DDC"/>
    <w:rsid w:val="00C401EF"/>
    <w:rsid w:val="00C4089C"/>
    <w:rsid w:val="00C40E58"/>
    <w:rsid w:val="00C4119E"/>
    <w:rsid w:val="00C414AE"/>
    <w:rsid w:val="00C414B5"/>
    <w:rsid w:val="00C41CA0"/>
    <w:rsid w:val="00C41DD4"/>
    <w:rsid w:val="00C421AA"/>
    <w:rsid w:val="00C42768"/>
    <w:rsid w:val="00C42791"/>
    <w:rsid w:val="00C4280F"/>
    <w:rsid w:val="00C42BC3"/>
    <w:rsid w:val="00C42F17"/>
    <w:rsid w:val="00C42FE1"/>
    <w:rsid w:val="00C4325D"/>
    <w:rsid w:val="00C43731"/>
    <w:rsid w:val="00C4400F"/>
    <w:rsid w:val="00C444E2"/>
    <w:rsid w:val="00C44996"/>
    <w:rsid w:val="00C44A2A"/>
    <w:rsid w:val="00C44E40"/>
    <w:rsid w:val="00C44F55"/>
    <w:rsid w:val="00C4568E"/>
    <w:rsid w:val="00C45ABD"/>
    <w:rsid w:val="00C45B55"/>
    <w:rsid w:val="00C4602E"/>
    <w:rsid w:val="00C462B1"/>
    <w:rsid w:val="00C4645C"/>
    <w:rsid w:val="00C46A97"/>
    <w:rsid w:val="00C46C75"/>
    <w:rsid w:val="00C46DF7"/>
    <w:rsid w:val="00C471C7"/>
    <w:rsid w:val="00C471F2"/>
    <w:rsid w:val="00C4747B"/>
    <w:rsid w:val="00C477C4"/>
    <w:rsid w:val="00C47888"/>
    <w:rsid w:val="00C50EED"/>
    <w:rsid w:val="00C50F96"/>
    <w:rsid w:val="00C51209"/>
    <w:rsid w:val="00C51715"/>
    <w:rsid w:val="00C51874"/>
    <w:rsid w:val="00C519CD"/>
    <w:rsid w:val="00C51CD0"/>
    <w:rsid w:val="00C522D7"/>
    <w:rsid w:val="00C52585"/>
    <w:rsid w:val="00C525EB"/>
    <w:rsid w:val="00C52C1A"/>
    <w:rsid w:val="00C52E03"/>
    <w:rsid w:val="00C52F2D"/>
    <w:rsid w:val="00C531E0"/>
    <w:rsid w:val="00C5338A"/>
    <w:rsid w:val="00C538B0"/>
    <w:rsid w:val="00C53BBD"/>
    <w:rsid w:val="00C53CC9"/>
    <w:rsid w:val="00C542FD"/>
    <w:rsid w:val="00C5465D"/>
    <w:rsid w:val="00C547F9"/>
    <w:rsid w:val="00C54B60"/>
    <w:rsid w:val="00C54C5F"/>
    <w:rsid w:val="00C54DA6"/>
    <w:rsid w:val="00C55116"/>
    <w:rsid w:val="00C55165"/>
    <w:rsid w:val="00C554D5"/>
    <w:rsid w:val="00C55970"/>
    <w:rsid w:val="00C55AB3"/>
    <w:rsid w:val="00C55D42"/>
    <w:rsid w:val="00C56373"/>
    <w:rsid w:val="00C56683"/>
    <w:rsid w:val="00C5698E"/>
    <w:rsid w:val="00C57052"/>
    <w:rsid w:val="00C572FC"/>
    <w:rsid w:val="00C57B39"/>
    <w:rsid w:val="00C57BAB"/>
    <w:rsid w:val="00C57DC5"/>
    <w:rsid w:val="00C57FD3"/>
    <w:rsid w:val="00C60139"/>
    <w:rsid w:val="00C6034B"/>
    <w:rsid w:val="00C60429"/>
    <w:rsid w:val="00C604DF"/>
    <w:rsid w:val="00C60630"/>
    <w:rsid w:val="00C60990"/>
    <w:rsid w:val="00C609A7"/>
    <w:rsid w:val="00C60A71"/>
    <w:rsid w:val="00C60AA5"/>
    <w:rsid w:val="00C60F81"/>
    <w:rsid w:val="00C61134"/>
    <w:rsid w:val="00C615FD"/>
    <w:rsid w:val="00C617B3"/>
    <w:rsid w:val="00C61D6C"/>
    <w:rsid w:val="00C61DEF"/>
    <w:rsid w:val="00C61E53"/>
    <w:rsid w:val="00C6294B"/>
    <w:rsid w:val="00C6329E"/>
    <w:rsid w:val="00C6428B"/>
    <w:rsid w:val="00C644C7"/>
    <w:rsid w:val="00C647FC"/>
    <w:rsid w:val="00C64A51"/>
    <w:rsid w:val="00C64B25"/>
    <w:rsid w:val="00C64CE8"/>
    <w:rsid w:val="00C64F7E"/>
    <w:rsid w:val="00C65641"/>
    <w:rsid w:val="00C657F4"/>
    <w:rsid w:val="00C6681C"/>
    <w:rsid w:val="00C66C0A"/>
    <w:rsid w:val="00C66DA4"/>
    <w:rsid w:val="00C6706B"/>
    <w:rsid w:val="00C6740C"/>
    <w:rsid w:val="00C67885"/>
    <w:rsid w:val="00C67A56"/>
    <w:rsid w:val="00C7020A"/>
    <w:rsid w:val="00C70250"/>
    <w:rsid w:val="00C706F4"/>
    <w:rsid w:val="00C70CE8"/>
    <w:rsid w:val="00C71044"/>
    <w:rsid w:val="00C7109B"/>
    <w:rsid w:val="00C71226"/>
    <w:rsid w:val="00C714BA"/>
    <w:rsid w:val="00C71611"/>
    <w:rsid w:val="00C717F0"/>
    <w:rsid w:val="00C71892"/>
    <w:rsid w:val="00C71957"/>
    <w:rsid w:val="00C71B97"/>
    <w:rsid w:val="00C720E3"/>
    <w:rsid w:val="00C723C8"/>
    <w:rsid w:val="00C72542"/>
    <w:rsid w:val="00C72578"/>
    <w:rsid w:val="00C72661"/>
    <w:rsid w:val="00C7343B"/>
    <w:rsid w:val="00C73520"/>
    <w:rsid w:val="00C738C6"/>
    <w:rsid w:val="00C73994"/>
    <w:rsid w:val="00C73C3A"/>
    <w:rsid w:val="00C73D72"/>
    <w:rsid w:val="00C740E0"/>
    <w:rsid w:val="00C7444B"/>
    <w:rsid w:val="00C74F6A"/>
    <w:rsid w:val="00C75646"/>
    <w:rsid w:val="00C75796"/>
    <w:rsid w:val="00C75B81"/>
    <w:rsid w:val="00C76D16"/>
    <w:rsid w:val="00C7703E"/>
    <w:rsid w:val="00C77280"/>
    <w:rsid w:val="00C7759F"/>
    <w:rsid w:val="00C777BC"/>
    <w:rsid w:val="00C77915"/>
    <w:rsid w:val="00C77AE3"/>
    <w:rsid w:val="00C77B0F"/>
    <w:rsid w:val="00C77DE1"/>
    <w:rsid w:val="00C80259"/>
    <w:rsid w:val="00C8058E"/>
    <w:rsid w:val="00C80D3C"/>
    <w:rsid w:val="00C8125F"/>
    <w:rsid w:val="00C8132B"/>
    <w:rsid w:val="00C81348"/>
    <w:rsid w:val="00C8148A"/>
    <w:rsid w:val="00C81AD1"/>
    <w:rsid w:val="00C8282D"/>
    <w:rsid w:val="00C82E3E"/>
    <w:rsid w:val="00C82E68"/>
    <w:rsid w:val="00C82E6A"/>
    <w:rsid w:val="00C82F2D"/>
    <w:rsid w:val="00C83208"/>
    <w:rsid w:val="00C84653"/>
    <w:rsid w:val="00C8537B"/>
    <w:rsid w:val="00C854DC"/>
    <w:rsid w:val="00C85C1F"/>
    <w:rsid w:val="00C85F68"/>
    <w:rsid w:val="00C8606A"/>
    <w:rsid w:val="00C860A9"/>
    <w:rsid w:val="00C8616D"/>
    <w:rsid w:val="00C86229"/>
    <w:rsid w:val="00C86BE8"/>
    <w:rsid w:val="00C86E1B"/>
    <w:rsid w:val="00C8776E"/>
    <w:rsid w:val="00C8791E"/>
    <w:rsid w:val="00C87BE6"/>
    <w:rsid w:val="00C87ED0"/>
    <w:rsid w:val="00C9023F"/>
    <w:rsid w:val="00C9039A"/>
    <w:rsid w:val="00C905D1"/>
    <w:rsid w:val="00C90708"/>
    <w:rsid w:val="00C90BF2"/>
    <w:rsid w:val="00C912EA"/>
    <w:rsid w:val="00C91709"/>
    <w:rsid w:val="00C918A3"/>
    <w:rsid w:val="00C91908"/>
    <w:rsid w:val="00C91916"/>
    <w:rsid w:val="00C9194F"/>
    <w:rsid w:val="00C91B14"/>
    <w:rsid w:val="00C92073"/>
    <w:rsid w:val="00C92077"/>
    <w:rsid w:val="00C9227D"/>
    <w:rsid w:val="00C92D2B"/>
    <w:rsid w:val="00C93378"/>
    <w:rsid w:val="00C9346F"/>
    <w:rsid w:val="00C9359D"/>
    <w:rsid w:val="00C942EB"/>
    <w:rsid w:val="00C9491A"/>
    <w:rsid w:val="00C94972"/>
    <w:rsid w:val="00C94B96"/>
    <w:rsid w:val="00C952B5"/>
    <w:rsid w:val="00C95542"/>
    <w:rsid w:val="00C95683"/>
    <w:rsid w:val="00C95D03"/>
    <w:rsid w:val="00C96101"/>
    <w:rsid w:val="00C96458"/>
    <w:rsid w:val="00C96EE7"/>
    <w:rsid w:val="00C971E4"/>
    <w:rsid w:val="00C974AC"/>
    <w:rsid w:val="00C9792D"/>
    <w:rsid w:val="00CA0286"/>
    <w:rsid w:val="00CA0610"/>
    <w:rsid w:val="00CA08CF"/>
    <w:rsid w:val="00CA09E8"/>
    <w:rsid w:val="00CA0D96"/>
    <w:rsid w:val="00CA1C29"/>
    <w:rsid w:val="00CA1E15"/>
    <w:rsid w:val="00CA20D1"/>
    <w:rsid w:val="00CA2110"/>
    <w:rsid w:val="00CA22A9"/>
    <w:rsid w:val="00CA3211"/>
    <w:rsid w:val="00CA3542"/>
    <w:rsid w:val="00CA3A66"/>
    <w:rsid w:val="00CA3B63"/>
    <w:rsid w:val="00CA43F1"/>
    <w:rsid w:val="00CA4EE9"/>
    <w:rsid w:val="00CA4F5D"/>
    <w:rsid w:val="00CA5437"/>
    <w:rsid w:val="00CA5820"/>
    <w:rsid w:val="00CA5F61"/>
    <w:rsid w:val="00CA63F4"/>
    <w:rsid w:val="00CA6743"/>
    <w:rsid w:val="00CA7BBC"/>
    <w:rsid w:val="00CA7F12"/>
    <w:rsid w:val="00CB0399"/>
    <w:rsid w:val="00CB08B3"/>
    <w:rsid w:val="00CB13B4"/>
    <w:rsid w:val="00CB17D4"/>
    <w:rsid w:val="00CB228F"/>
    <w:rsid w:val="00CB2626"/>
    <w:rsid w:val="00CB2A54"/>
    <w:rsid w:val="00CB2F9C"/>
    <w:rsid w:val="00CB3446"/>
    <w:rsid w:val="00CB36C5"/>
    <w:rsid w:val="00CB39D1"/>
    <w:rsid w:val="00CB3B4E"/>
    <w:rsid w:val="00CB3F68"/>
    <w:rsid w:val="00CB47C9"/>
    <w:rsid w:val="00CB4A7D"/>
    <w:rsid w:val="00CB5226"/>
    <w:rsid w:val="00CB584D"/>
    <w:rsid w:val="00CB58A5"/>
    <w:rsid w:val="00CB59C0"/>
    <w:rsid w:val="00CB5EA6"/>
    <w:rsid w:val="00CB6809"/>
    <w:rsid w:val="00CB7383"/>
    <w:rsid w:val="00CB73CF"/>
    <w:rsid w:val="00CB762C"/>
    <w:rsid w:val="00CB7EB1"/>
    <w:rsid w:val="00CC093B"/>
    <w:rsid w:val="00CC164F"/>
    <w:rsid w:val="00CC17C0"/>
    <w:rsid w:val="00CC1BA1"/>
    <w:rsid w:val="00CC22AF"/>
    <w:rsid w:val="00CC23E5"/>
    <w:rsid w:val="00CC2DAD"/>
    <w:rsid w:val="00CC3133"/>
    <w:rsid w:val="00CC3AD1"/>
    <w:rsid w:val="00CC3C76"/>
    <w:rsid w:val="00CC3EA4"/>
    <w:rsid w:val="00CC4044"/>
    <w:rsid w:val="00CC423A"/>
    <w:rsid w:val="00CC4478"/>
    <w:rsid w:val="00CC4713"/>
    <w:rsid w:val="00CC48B8"/>
    <w:rsid w:val="00CC4F6D"/>
    <w:rsid w:val="00CC523A"/>
    <w:rsid w:val="00CC5850"/>
    <w:rsid w:val="00CC5BB6"/>
    <w:rsid w:val="00CC5BED"/>
    <w:rsid w:val="00CC6225"/>
    <w:rsid w:val="00CC6324"/>
    <w:rsid w:val="00CC6337"/>
    <w:rsid w:val="00CC683B"/>
    <w:rsid w:val="00CC6906"/>
    <w:rsid w:val="00CC6C0B"/>
    <w:rsid w:val="00CC73E7"/>
    <w:rsid w:val="00CC74A0"/>
    <w:rsid w:val="00CC758D"/>
    <w:rsid w:val="00CC7C96"/>
    <w:rsid w:val="00CC7DDA"/>
    <w:rsid w:val="00CD0337"/>
    <w:rsid w:val="00CD109A"/>
    <w:rsid w:val="00CD1307"/>
    <w:rsid w:val="00CD14D7"/>
    <w:rsid w:val="00CD1DF7"/>
    <w:rsid w:val="00CD2106"/>
    <w:rsid w:val="00CD21C3"/>
    <w:rsid w:val="00CD26A7"/>
    <w:rsid w:val="00CD27AD"/>
    <w:rsid w:val="00CD2EDE"/>
    <w:rsid w:val="00CD2F22"/>
    <w:rsid w:val="00CD43CF"/>
    <w:rsid w:val="00CD44D3"/>
    <w:rsid w:val="00CD4CA2"/>
    <w:rsid w:val="00CD4CFF"/>
    <w:rsid w:val="00CD550E"/>
    <w:rsid w:val="00CD638A"/>
    <w:rsid w:val="00CD6788"/>
    <w:rsid w:val="00CD6856"/>
    <w:rsid w:val="00CD6871"/>
    <w:rsid w:val="00CD69A1"/>
    <w:rsid w:val="00CD6C6C"/>
    <w:rsid w:val="00CD73E8"/>
    <w:rsid w:val="00CD7675"/>
    <w:rsid w:val="00CD7830"/>
    <w:rsid w:val="00CD7A93"/>
    <w:rsid w:val="00CE0839"/>
    <w:rsid w:val="00CE11CD"/>
    <w:rsid w:val="00CE125B"/>
    <w:rsid w:val="00CE1453"/>
    <w:rsid w:val="00CE1A76"/>
    <w:rsid w:val="00CE2107"/>
    <w:rsid w:val="00CE22BD"/>
    <w:rsid w:val="00CE26F5"/>
    <w:rsid w:val="00CE2C0C"/>
    <w:rsid w:val="00CE33D1"/>
    <w:rsid w:val="00CE3910"/>
    <w:rsid w:val="00CE414F"/>
    <w:rsid w:val="00CE4B63"/>
    <w:rsid w:val="00CE4E58"/>
    <w:rsid w:val="00CE573B"/>
    <w:rsid w:val="00CE57A0"/>
    <w:rsid w:val="00CE59D5"/>
    <w:rsid w:val="00CE5F42"/>
    <w:rsid w:val="00CE5FD5"/>
    <w:rsid w:val="00CE6A15"/>
    <w:rsid w:val="00CE6B6F"/>
    <w:rsid w:val="00CE6D28"/>
    <w:rsid w:val="00CE6E0B"/>
    <w:rsid w:val="00CE6FC1"/>
    <w:rsid w:val="00CE718C"/>
    <w:rsid w:val="00CE72AF"/>
    <w:rsid w:val="00CE7554"/>
    <w:rsid w:val="00CE7859"/>
    <w:rsid w:val="00CE78C9"/>
    <w:rsid w:val="00CE7DA4"/>
    <w:rsid w:val="00CF020F"/>
    <w:rsid w:val="00CF108F"/>
    <w:rsid w:val="00CF10B8"/>
    <w:rsid w:val="00CF1C1D"/>
    <w:rsid w:val="00CF1F4A"/>
    <w:rsid w:val="00CF2AA9"/>
    <w:rsid w:val="00CF2BFE"/>
    <w:rsid w:val="00CF2C2A"/>
    <w:rsid w:val="00CF3012"/>
    <w:rsid w:val="00CF32F5"/>
    <w:rsid w:val="00CF33D0"/>
    <w:rsid w:val="00CF3436"/>
    <w:rsid w:val="00CF364A"/>
    <w:rsid w:val="00CF4B97"/>
    <w:rsid w:val="00CF4F86"/>
    <w:rsid w:val="00CF541F"/>
    <w:rsid w:val="00CF58BD"/>
    <w:rsid w:val="00CF5A2B"/>
    <w:rsid w:val="00CF5F6A"/>
    <w:rsid w:val="00CF6140"/>
    <w:rsid w:val="00CF617B"/>
    <w:rsid w:val="00CF6452"/>
    <w:rsid w:val="00CF64F0"/>
    <w:rsid w:val="00CF71E1"/>
    <w:rsid w:val="00CF73C0"/>
    <w:rsid w:val="00CF75ED"/>
    <w:rsid w:val="00CF786E"/>
    <w:rsid w:val="00CF7BBB"/>
    <w:rsid w:val="00D009F2"/>
    <w:rsid w:val="00D00A8D"/>
    <w:rsid w:val="00D010CF"/>
    <w:rsid w:val="00D013EF"/>
    <w:rsid w:val="00D01555"/>
    <w:rsid w:val="00D0184F"/>
    <w:rsid w:val="00D02905"/>
    <w:rsid w:val="00D02CEC"/>
    <w:rsid w:val="00D02F0D"/>
    <w:rsid w:val="00D03498"/>
    <w:rsid w:val="00D034A3"/>
    <w:rsid w:val="00D03740"/>
    <w:rsid w:val="00D0394F"/>
    <w:rsid w:val="00D03D57"/>
    <w:rsid w:val="00D03EDD"/>
    <w:rsid w:val="00D04677"/>
    <w:rsid w:val="00D04853"/>
    <w:rsid w:val="00D0485A"/>
    <w:rsid w:val="00D04D2A"/>
    <w:rsid w:val="00D04DF4"/>
    <w:rsid w:val="00D04F17"/>
    <w:rsid w:val="00D05F35"/>
    <w:rsid w:val="00D06042"/>
    <w:rsid w:val="00D0614D"/>
    <w:rsid w:val="00D064F3"/>
    <w:rsid w:val="00D0697A"/>
    <w:rsid w:val="00D07C64"/>
    <w:rsid w:val="00D1018B"/>
    <w:rsid w:val="00D10645"/>
    <w:rsid w:val="00D10CEE"/>
    <w:rsid w:val="00D112E9"/>
    <w:rsid w:val="00D113D5"/>
    <w:rsid w:val="00D11D87"/>
    <w:rsid w:val="00D11DF5"/>
    <w:rsid w:val="00D12098"/>
    <w:rsid w:val="00D120BA"/>
    <w:rsid w:val="00D120CC"/>
    <w:rsid w:val="00D122C5"/>
    <w:rsid w:val="00D12779"/>
    <w:rsid w:val="00D127DF"/>
    <w:rsid w:val="00D12902"/>
    <w:rsid w:val="00D1353B"/>
    <w:rsid w:val="00D13A1A"/>
    <w:rsid w:val="00D13D41"/>
    <w:rsid w:val="00D14305"/>
    <w:rsid w:val="00D1441F"/>
    <w:rsid w:val="00D14491"/>
    <w:rsid w:val="00D1516B"/>
    <w:rsid w:val="00D15473"/>
    <w:rsid w:val="00D15594"/>
    <w:rsid w:val="00D15687"/>
    <w:rsid w:val="00D1576D"/>
    <w:rsid w:val="00D15F08"/>
    <w:rsid w:val="00D16039"/>
    <w:rsid w:val="00D16062"/>
    <w:rsid w:val="00D1679D"/>
    <w:rsid w:val="00D16D1A"/>
    <w:rsid w:val="00D16D4E"/>
    <w:rsid w:val="00D16E12"/>
    <w:rsid w:val="00D1708D"/>
    <w:rsid w:val="00D170F5"/>
    <w:rsid w:val="00D1710B"/>
    <w:rsid w:val="00D1767E"/>
    <w:rsid w:val="00D17755"/>
    <w:rsid w:val="00D1787C"/>
    <w:rsid w:val="00D17EC9"/>
    <w:rsid w:val="00D2025F"/>
    <w:rsid w:val="00D20274"/>
    <w:rsid w:val="00D20696"/>
    <w:rsid w:val="00D20BDD"/>
    <w:rsid w:val="00D20E6E"/>
    <w:rsid w:val="00D20F5B"/>
    <w:rsid w:val="00D211CC"/>
    <w:rsid w:val="00D2161F"/>
    <w:rsid w:val="00D2168C"/>
    <w:rsid w:val="00D21849"/>
    <w:rsid w:val="00D2187E"/>
    <w:rsid w:val="00D218DC"/>
    <w:rsid w:val="00D21B76"/>
    <w:rsid w:val="00D21DDA"/>
    <w:rsid w:val="00D2223B"/>
    <w:rsid w:val="00D2244F"/>
    <w:rsid w:val="00D22FDD"/>
    <w:rsid w:val="00D2300D"/>
    <w:rsid w:val="00D230FB"/>
    <w:rsid w:val="00D23294"/>
    <w:rsid w:val="00D23339"/>
    <w:rsid w:val="00D23A94"/>
    <w:rsid w:val="00D241D3"/>
    <w:rsid w:val="00D242E5"/>
    <w:rsid w:val="00D2431A"/>
    <w:rsid w:val="00D24937"/>
    <w:rsid w:val="00D24947"/>
    <w:rsid w:val="00D25833"/>
    <w:rsid w:val="00D25D19"/>
    <w:rsid w:val="00D26413"/>
    <w:rsid w:val="00D26A04"/>
    <w:rsid w:val="00D26EEC"/>
    <w:rsid w:val="00D26F6A"/>
    <w:rsid w:val="00D26FEF"/>
    <w:rsid w:val="00D271AD"/>
    <w:rsid w:val="00D272D5"/>
    <w:rsid w:val="00D273E0"/>
    <w:rsid w:val="00D27626"/>
    <w:rsid w:val="00D27A87"/>
    <w:rsid w:val="00D27D78"/>
    <w:rsid w:val="00D27E41"/>
    <w:rsid w:val="00D3072C"/>
    <w:rsid w:val="00D30BD4"/>
    <w:rsid w:val="00D310BD"/>
    <w:rsid w:val="00D31131"/>
    <w:rsid w:val="00D31970"/>
    <w:rsid w:val="00D31A27"/>
    <w:rsid w:val="00D31A58"/>
    <w:rsid w:val="00D32394"/>
    <w:rsid w:val="00D324D6"/>
    <w:rsid w:val="00D3265F"/>
    <w:rsid w:val="00D326E0"/>
    <w:rsid w:val="00D32874"/>
    <w:rsid w:val="00D33568"/>
    <w:rsid w:val="00D3359A"/>
    <w:rsid w:val="00D33F14"/>
    <w:rsid w:val="00D3478D"/>
    <w:rsid w:val="00D34851"/>
    <w:rsid w:val="00D348F8"/>
    <w:rsid w:val="00D34BAA"/>
    <w:rsid w:val="00D34CE9"/>
    <w:rsid w:val="00D34F64"/>
    <w:rsid w:val="00D35321"/>
    <w:rsid w:val="00D3547D"/>
    <w:rsid w:val="00D35758"/>
    <w:rsid w:val="00D35B6A"/>
    <w:rsid w:val="00D3621E"/>
    <w:rsid w:val="00D3638E"/>
    <w:rsid w:val="00D36A4C"/>
    <w:rsid w:val="00D36D92"/>
    <w:rsid w:val="00D3716F"/>
    <w:rsid w:val="00D37E88"/>
    <w:rsid w:val="00D404F6"/>
    <w:rsid w:val="00D40A30"/>
    <w:rsid w:val="00D40C2C"/>
    <w:rsid w:val="00D40E8E"/>
    <w:rsid w:val="00D40F3D"/>
    <w:rsid w:val="00D41561"/>
    <w:rsid w:val="00D4160D"/>
    <w:rsid w:val="00D41C93"/>
    <w:rsid w:val="00D41E72"/>
    <w:rsid w:val="00D42957"/>
    <w:rsid w:val="00D42978"/>
    <w:rsid w:val="00D42DDE"/>
    <w:rsid w:val="00D430F2"/>
    <w:rsid w:val="00D4340A"/>
    <w:rsid w:val="00D43560"/>
    <w:rsid w:val="00D435A6"/>
    <w:rsid w:val="00D43740"/>
    <w:rsid w:val="00D437C5"/>
    <w:rsid w:val="00D43FEB"/>
    <w:rsid w:val="00D44398"/>
    <w:rsid w:val="00D44765"/>
    <w:rsid w:val="00D4486B"/>
    <w:rsid w:val="00D44B5C"/>
    <w:rsid w:val="00D44C10"/>
    <w:rsid w:val="00D44C9B"/>
    <w:rsid w:val="00D45168"/>
    <w:rsid w:val="00D453BA"/>
    <w:rsid w:val="00D4541B"/>
    <w:rsid w:val="00D454CC"/>
    <w:rsid w:val="00D45B70"/>
    <w:rsid w:val="00D45F3B"/>
    <w:rsid w:val="00D46024"/>
    <w:rsid w:val="00D46CE1"/>
    <w:rsid w:val="00D46E3F"/>
    <w:rsid w:val="00D46E66"/>
    <w:rsid w:val="00D4747C"/>
    <w:rsid w:val="00D47905"/>
    <w:rsid w:val="00D4797D"/>
    <w:rsid w:val="00D47D3B"/>
    <w:rsid w:val="00D50E7D"/>
    <w:rsid w:val="00D50EF7"/>
    <w:rsid w:val="00D511C2"/>
    <w:rsid w:val="00D51684"/>
    <w:rsid w:val="00D5175C"/>
    <w:rsid w:val="00D51A85"/>
    <w:rsid w:val="00D51ACC"/>
    <w:rsid w:val="00D51C1D"/>
    <w:rsid w:val="00D51D95"/>
    <w:rsid w:val="00D52512"/>
    <w:rsid w:val="00D52B83"/>
    <w:rsid w:val="00D52F5C"/>
    <w:rsid w:val="00D530FB"/>
    <w:rsid w:val="00D53B75"/>
    <w:rsid w:val="00D53FB0"/>
    <w:rsid w:val="00D540AD"/>
    <w:rsid w:val="00D54139"/>
    <w:rsid w:val="00D5420E"/>
    <w:rsid w:val="00D542C7"/>
    <w:rsid w:val="00D544A3"/>
    <w:rsid w:val="00D5485B"/>
    <w:rsid w:val="00D54BFA"/>
    <w:rsid w:val="00D54DC7"/>
    <w:rsid w:val="00D55380"/>
    <w:rsid w:val="00D55A01"/>
    <w:rsid w:val="00D55B43"/>
    <w:rsid w:val="00D55E0A"/>
    <w:rsid w:val="00D56BB7"/>
    <w:rsid w:val="00D56DA5"/>
    <w:rsid w:val="00D56E7D"/>
    <w:rsid w:val="00D5743F"/>
    <w:rsid w:val="00D577CA"/>
    <w:rsid w:val="00D57C16"/>
    <w:rsid w:val="00D57F6E"/>
    <w:rsid w:val="00D60644"/>
    <w:rsid w:val="00D60844"/>
    <w:rsid w:val="00D60981"/>
    <w:rsid w:val="00D614EF"/>
    <w:rsid w:val="00D62E85"/>
    <w:rsid w:val="00D62F3D"/>
    <w:rsid w:val="00D63085"/>
    <w:rsid w:val="00D6368F"/>
    <w:rsid w:val="00D63A92"/>
    <w:rsid w:val="00D63F7C"/>
    <w:rsid w:val="00D64361"/>
    <w:rsid w:val="00D64770"/>
    <w:rsid w:val="00D649C7"/>
    <w:rsid w:val="00D64B2A"/>
    <w:rsid w:val="00D64BCD"/>
    <w:rsid w:val="00D64D32"/>
    <w:rsid w:val="00D64EA8"/>
    <w:rsid w:val="00D6505A"/>
    <w:rsid w:val="00D65156"/>
    <w:rsid w:val="00D652AE"/>
    <w:rsid w:val="00D6553B"/>
    <w:rsid w:val="00D6566C"/>
    <w:rsid w:val="00D65A01"/>
    <w:rsid w:val="00D66903"/>
    <w:rsid w:val="00D66B56"/>
    <w:rsid w:val="00D66F61"/>
    <w:rsid w:val="00D6729C"/>
    <w:rsid w:val="00D678D6"/>
    <w:rsid w:val="00D70BDB"/>
    <w:rsid w:val="00D7162F"/>
    <w:rsid w:val="00D7215B"/>
    <w:rsid w:val="00D731E0"/>
    <w:rsid w:val="00D7323E"/>
    <w:rsid w:val="00D734D2"/>
    <w:rsid w:val="00D7353A"/>
    <w:rsid w:val="00D74081"/>
    <w:rsid w:val="00D7418F"/>
    <w:rsid w:val="00D741E9"/>
    <w:rsid w:val="00D74244"/>
    <w:rsid w:val="00D7494B"/>
    <w:rsid w:val="00D74BA2"/>
    <w:rsid w:val="00D74CA4"/>
    <w:rsid w:val="00D75404"/>
    <w:rsid w:val="00D75A0E"/>
    <w:rsid w:val="00D75D6D"/>
    <w:rsid w:val="00D75D71"/>
    <w:rsid w:val="00D76621"/>
    <w:rsid w:val="00D777EA"/>
    <w:rsid w:val="00D77C8D"/>
    <w:rsid w:val="00D80195"/>
    <w:rsid w:val="00D801BC"/>
    <w:rsid w:val="00D81722"/>
    <w:rsid w:val="00D81C19"/>
    <w:rsid w:val="00D81FBB"/>
    <w:rsid w:val="00D821CD"/>
    <w:rsid w:val="00D8283E"/>
    <w:rsid w:val="00D8292B"/>
    <w:rsid w:val="00D82A82"/>
    <w:rsid w:val="00D82E3F"/>
    <w:rsid w:val="00D8302A"/>
    <w:rsid w:val="00D8312C"/>
    <w:rsid w:val="00D83131"/>
    <w:rsid w:val="00D83AD2"/>
    <w:rsid w:val="00D84329"/>
    <w:rsid w:val="00D84402"/>
    <w:rsid w:val="00D849CB"/>
    <w:rsid w:val="00D84B27"/>
    <w:rsid w:val="00D85027"/>
    <w:rsid w:val="00D8572C"/>
    <w:rsid w:val="00D8592D"/>
    <w:rsid w:val="00D85F25"/>
    <w:rsid w:val="00D85F9F"/>
    <w:rsid w:val="00D860B3"/>
    <w:rsid w:val="00D86181"/>
    <w:rsid w:val="00D865D1"/>
    <w:rsid w:val="00D86624"/>
    <w:rsid w:val="00D869E2"/>
    <w:rsid w:val="00D86BD1"/>
    <w:rsid w:val="00D86EEB"/>
    <w:rsid w:val="00D87080"/>
    <w:rsid w:val="00D879F0"/>
    <w:rsid w:val="00D903B6"/>
    <w:rsid w:val="00D906C8"/>
    <w:rsid w:val="00D91336"/>
    <w:rsid w:val="00D91635"/>
    <w:rsid w:val="00D91847"/>
    <w:rsid w:val="00D91D39"/>
    <w:rsid w:val="00D924F1"/>
    <w:rsid w:val="00D92826"/>
    <w:rsid w:val="00D92C16"/>
    <w:rsid w:val="00D92C90"/>
    <w:rsid w:val="00D92D65"/>
    <w:rsid w:val="00D932E7"/>
    <w:rsid w:val="00D9334E"/>
    <w:rsid w:val="00D94054"/>
    <w:rsid w:val="00D943C7"/>
    <w:rsid w:val="00D94A56"/>
    <w:rsid w:val="00D94AD9"/>
    <w:rsid w:val="00D94B99"/>
    <w:rsid w:val="00D94CF9"/>
    <w:rsid w:val="00D94E37"/>
    <w:rsid w:val="00D955B9"/>
    <w:rsid w:val="00D956F7"/>
    <w:rsid w:val="00D95725"/>
    <w:rsid w:val="00D96015"/>
    <w:rsid w:val="00D96044"/>
    <w:rsid w:val="00D96203"/>
    <w:rsid w:val="00D96422"/>
    <w:rsid w:val="00D96880"/>
    <w:rsid w:val="00D96CE3"/>
    <w:rsid w:val="00D96FF3"/>
    <w:rsid w:val="00D97655"/>
    <w:rsid w:val="00D9780A"/>
    <w:rsid w:val="00D978D1"/>
    <w:rsid w:val="00D97D24"/>
    <w:rsid w:val="00D97E9D"/>
    <w:rsid w:val="00D97EC4"/>
    <w:rsid w:val="00DA01E5"/>
    <w:rsid w:val="00DA09E5"/>
    <w:rsid w:val="00DA0A3B"/>
    <w:rsid w:val="00DA0D8E"/>
    <w:rsid w:val="00DA1058"/>
    <w:rsid w:val="00DA1568"/>
    <w:rsid w:val="00DA1A3E"/>
    <w:rsid w:val="00DA1C1C"/>
    <w:rsid w:val="00DA26BB"/>
    <w:rsid w:val="00DA279B"/>
    <w:rsid w:val="00DA2B30"/>
    <w:rsid w:val="00DA325C"/>
    <w:rsid w:val="00DA3343"/>
    <w:rsid w:val="00DA342D"/>
    <w:rsid w:val="00DA38BE"/>
    <w:rsid w:val="00DA3A75"/>
    <w:rsid w:val="00DA3BEA"/>
    <w:rsid w:val="00DA41F6"/>
    <w:rsid w:val="00DA487E"/>
    <w:rsid w:val="00DA50AA"/>
    <w:rsid w:val="00DA56C7"/>
    <w:rsid w:val="00DA58A2"/>
    <w:rsid w:val="00DA5A0C"/>
    <w:rsid w:val="00DA5FEE"/>
    <w:rsid w:val="00DA635E"/>
    <w:rsid w:val="00DA643F"/>
    <w:rsid w:val="00DA68C2"/>
    <w:rsid w:val="00DA7399"/>
    <w:rsid w:val="00DA7402"/>
    <w:rsid w:val="00DA75D7"/>
    <w:rsid w:val="00DA7A8E"/>
    <w:rsid w:val="00DA7B94"/>
    <w:rsid w:val="00DA7E0F"/>
    <w:rsid w:val="00DA7EE2"/>
    <w:rsid w:val="00DA7F0C"/>
    <w:rsid w:val="00DB01D7"/>
    <w:rsid w:val="00DB01DE"/>
    <w:rsid w:val="00DB030E"/>
    <w:rsid w:val="00DB044B"/>
    <w:rsid w:val="00DB04B2"/>
    <w:rsid w:val="00DB08C1"/>
    <w:rsid w:val="00DB0ACF"/>
    <w:rsid w:val="00DB0B07"/>
    <w:rsid w:val="00DB0C04"/>
    <w:rsid w:val="00DB0EFB"/>
    <w:rsid w:val="00DB1417"/>
    <w:rsid w:val="00DB1CAA"/>
    <w:rsid w:val="00DB1E1E"/>
    <w:rsid w:val="00DB1F7A"/>
    <w:rsid w:val="00DB1FA2"/>
    <w:rsid w:val="00DB228A"/>
    <w:rsid w:val="00DB3C1C"/>
    <w:rsid w:val="00DB4321"/>
    <w:rsid w:val="00DB4330"/>
    <w:rsid w:val="00DB474C"/>
    <w:rsid w:val="00DB487E"/>
    <w:rsid w:val="00DB4D6E"/>
    <w:rsid w:val="00DB520E"/>
    <w:rsid w:val="00DB54D0"/>
    <w:rsid w:val="00DB5770"/>
    <w:rsid w:val="00DB588D"/>
    <w:rsid w:val="00DB5CA2"/>
    <w:rsid w:val="00DB5EC3"/>
    <w:rsid w:val="00DB649D"/>
    <w:rsid w:val="00DB6BFB"/>
    <w:rsid w:val="00DB6DBB"/>
    <w:rsid w:val="00DB6FB1"/>
    <w:rsid w:val="00DB72DB"/>
    <w:rsid w:val="00DB7535"/>
    <w:rsid w:val="00DB76B7"/>
    <w:rsid w:val="00DB7B5F"/>
    <w:rsid w:val="00DB7D7D"/>
    <w:rsid w:val="00DB7E78"/>
    <w:rsid w:val="00DC022D"/>
    <w:rsid w:val="00DC02BA"/>
    <w:rsid w:val="00DC0362"/>
    <w:rsid w:val="00DC0595"/>
    <w:rsid w:val="00DC05AF"/>
    <w:rsid w:val="00DC07AC"/>
    <w:rsid w:val="00DC0A7C"/>
    <w:rsid w:val="00DC1587"/>
    <w:rsid w:val="00DC16B4"/>
    <w:rsid w:val="00DC1C5B"/>
    <w:rsid w:val="00DC1F82"/>
    <w:rsid w:val="00DC347F"/>
    <w:rsid w:val="00DC43A5"/>
    <w:rsid w:val="00DC44D5"/>
    <w:rsid w:val="00DC4837"/>
    <w:rsid w:val="00DC4B12"/>
    <w:rsid w:val="00DC51E6"/>
    <w:rsid w:val="00DC645B"/>
    <w:rsid w:val="00DC6534"/>
    <w:rsid w:val="00DC66C9"/>
    <w:rsid w:val="00DC7029"/>
    <w:rsid w:val="00DC718C"/>
    <w:rsid w:val="00DC72C7"/>
    <w:rsid w:val="00DC743E"/>
    <w:rsid w:val="00DC7614"/>
    <w:rsid w:val="00DC78A0"/>
    <w:rsid w:val="00DC792B"/>
    <w:rsid w:val="00DC7B05"/>
    <w:rsid w:val="00DC7E8E"/>
    <w:rsid w:val="00DD0176"/>
    <w:rsid w:val="00DD110B"/>
    <w:rsid w:val="00DD1D28"/>
    <w:rsid w:val="00DD2077"/>
    <w:rsid w:val="00DD21D3"/>
    <w:rsid w:val="00DD2AD4"/>
    <w:rsid w:val="00DD2CE3"/>
    <w:rsid w:val="00DD2EDE"/>
    <w:rsid w:val="00DD3141"/>
    <w:rsid w:val="00DD3657"/>
    <w:rsid w:val="00DD3806"/>
    <w:rsid w:val="00DD428E"/>
    <w:rsid w:val="00DD4C73"/>
    <w:rsid w:val="00DD56DE"/>
    <w:rsid w:val="00DD5A85"/>
    <w:rsid w:val="00DD66C7"/>
    <w:rsid w:val="00DD6949"/>
    <w:rsid w:val="00DD6A24"/>
    <w:rsid w:val="00DD6A9C"/>
    <w:rsid w:val="00DD7466"/>
    <w:rsid w:val="00DD74DC"/>
    <w:rsid w:val="00DD77F4"/>
    <w:rsid w:val="00DE05B8"/>
    <w:rsid w:val="00DE1276"/>
    <w:rsid w:val="00DE1776"/>
    <w:rsid w:val="00DE1B3F"/>
    <w:rsid w:val="00DE1BF0"/>
    <w:rsid w:val="00DE1E00"/>
    <w:rsid w:val="00DE2571"/>
    <w:rsid w:val="00DE261E"/>
    <w:rsid w:val="00DE2AF4"/>
    <w:rsid w:val="00DE33E2"/>
    <w:rsid w:val="00DE35AF"/>
    <w:rsid w:val="00DE3C57"/>
    <w:rsid w:val="00DE3D56"/>
    <w:rsid w:val="00DE3FFC"/>
    <w:rsid w:val="00DE4260"/>
    <w:rsid w:val="00DE44C0"/>
    <w:rsid w:val="00DE47ED"/>
    <w:rsid w:val="00DE4E24"/>
    <w:rsid w:val="00DE4F9A"/>
    <w:rsid w:val="00DE50D8"/>
    <w:rsid w:val="00DE5128"/>
    <w:rsid w:val="00DE5371"/>
    <w:rsid w:val="00DE56DB"/>
    <w:rsid w:val="00DE5EEA"/>
    <w:rsid w:val="00DE5FFB"/>
    <w:rsid w:val="00DE6074"/>
    <w:rsid w:val="00DE61CB"/>
    <w:rsid w:val="00DE61CF"/>
    <w:rsid w:val="00DE623F"/>
    <w:rsid w:val="00DE641C"/>
    <w:rsid w:val="00DE6DCC"/>
    <w:rsid w:val="00DE6DDC"/>
    <w:rsid w:val="00DE720B"/>
    <w:rsid w:val="00DE744F"/>
    <w:rsid w:val="00DE761F"/>
    <w:rsid w:val="00DE77B2"/>
    <w:rsid w:val="00DE77E5"/>
    <w:rsid w:val="00DE7C40"/>
    <w:rsid w:val="00DE7CD4"/>
    <w:rsid w:val="00DE7D13"/>
    <w:rsid w:val="00DF0033"/>
    <w:rsid w:val="00DF0536"/>
    <w:rsid w:val="00DF05B5"/>
    <w:rsid w:val="00DF069F"/>
    <w:rsid w:val="00DF085A"/>
    <w:rsid w:val="00DF0985"/>
    <w:rsid w:val="00DF12EF"/>
    <w:rsid w:val="00DF1528"/>
    <w:rsid w:val="00DF1B1F"/>
    <w:rsid w:val="00DF27E7"/>
    <w:rsid w:val="00DF2ABC"/>
    <w:rsid w:val="00DF3148"/>
    <w:rsid w:val="00DF3640"/>
    <w:rsid w:val="00DF39B7"/>
    <w:rsid w:val="00DF48B2"/>
    <w:rsid w:val="00DF4D28"/>
    <w:rsid w:val="00DF4D73"/>
    <w:rsid w:val="00DF4ECE"/>
    <w:rsid w:val="00DF5381"/>
    <w:rsid w:val="00DF56B4"/>
    <w:rsid w:val="00DF5B89"/>
    <w:rsid w:val="00DF5BB4"/>
    <w:rsid w:val="00DF5CE6"/>
    <w:rsid w:val="00DF64FB"/>
    <w:rsid w:val="00DF68D0"/>
    <w:rsid w:val="00DF730D"/>
    <w:rsid w:val="00DF740E"/>
    <w:rsid w:val="00E00474"/>
    <w:rsid w:val="00E008E3"/>
    <w:rsid w:val="00E00AF4"/>
    <w:rsid w:val="00E0126D"/>
    <w:rsid w:val="00E01B7D"/>
    <w:rsid w:val="00E01D56"/>
    <w:rsid w:val="00E01F6B"/>
    <w:rsid w:val="00E02445"/>
    <w:rsid w:val="00E0269A"/>
    <w:rsid w:val="00E02B4A"/>
    <w:rsid w:val="00E034BF"/>
    <w:rsid w:val="00E0366A"/>
    <w:rsid w:val="00E038B2"/>
    <w:rsid w:val="00E03968"/>
    <w:rsid w:val="00E04408"/>
    <w:rsid w:val="00E045F2"/>
    <w:rsid w:val="00E04683"/>
    <w:rsid w:val="00E04A38"/>
    <w:rsid w:val="00E04F55"/>
    <w:rsid w:val="00E0501A"/>
    <w:rsid w:val="00E05385"/>
    <w:rsid w:val="00E0581A"/>
    <w:rsid w:val="00E05BDA"/>
    <w:rsid w:val="00E05C60"/>
    <w:rsid w:val="00E06E8B"/>
    <w:rsid w:val="00E06EFE"/>
    <w:rsid w:val="00E073D0"/>
    <w:rsid w:val="00E073EE"/>
    <w:rsid w:val="00E0784A"/>
    <w:rsid w:val="00E07BDC"/>
    <w:rsid w:val="00E10A38"/>
    <w:rsid w:val="00E10DE7"/>
    <w:rsid w:val="00E10EF6"/>
    <w:rsid w:val="00E1164E"/>
    <w:rsid w:val="00E116AA"/>
    <w:rsid w:val="00E11EA5"/>
    <w:rsid w:val="00E1218D"/>
    <w:rsid w:val="00E12345"/>
    <w:rsid w:val="00E12365"/>
    <w:rsid w:val="00E12538"/>
    <w:rsid w:val="00E12811"/>
    <w:rsid w:val="00E1332C"/>
    <w:rsid w:val="00E13350"/>
    <w:rsid w:val="00E13681"/>
    <w:rsid w:val="00E13E86"/>
    <w:rsid w:val="00E141F2"/>
    <w:rsid w:val="00E143CF"/>
    <w:rsid w:val="00E14883"/>
    <w:rsid w:val="00E14885"/>
    <w:rsid w:val="00E14886"/>
    <w:rsid w:val="00E14E7B"/>
    <w:rsid w:val="00E1536D"/>
    <w:rsid w:val="00E1552F"/>
    <w:rsid w:val="00E15B3B"/>
    <w:rsid w:val="00E160D7"/>
    <w:rsid w:val="00E167DB"/>
    <w:rsid w:val="00E16824"/>
    <w:rsid w:val="00E16F32"/>
    <w:rsid w:val="00E17317"/>
    <w:rsid w:val="00E1742B"/>
    <w:rsid w:val="00E1766D"/>
    <w:rsid w:val="00E17DF4"/>
    <w:rsid w:val="00E2001D"/>
    <w:rsid w:val="00E203ED"/>
    <w:rsid w:val="00E204B3"/>
    <w:rsid w:val="00E20528"/>
    <w:rsid w:val="00E2055B"/>
    <w:rsid w:val="00E208FE"/>
    <w:rsid w:val="00E20B29"/>
    <w:rsid w:val="00E20BBF"/>
    <w:rsid w:val="00E20E6B"/>
    <w:rsid w:val="00E20EFC"/>
    <w:rsid w:val="00E2120D"/>
    <w:rsid w:val="00E21280"/>
    <w:rsid w:val="00E213B0"/>
    <w:rsid w:val="00E2149F"/>
    <w:rsid w:val="00E2185B"/>
    <w:rsid w:val="00E21873"/>
    <w:rsid w:val="00E21A1E"/>
    <w:rsid w:val="00E21FE2"/>
    <w:rsid w:val="00E2258F"/>
    <w:rsid w:val="00E229D1"/>
    <w:rsid w:val="00E22C47"/>
    <w:rsid w:val="00E22D36"/>
    <w:rsid w:val="00E22F51"/>
    <w:rsid w:val="00E2371C"/>
    <w:rsid w:val="00E23938"/>
    <w:rsid w:val="00E2451C"/>
    <w:rsid w:val="00E24C27"/>
    <w:rsid w:val="00E24EF4"/>
    <w:rsid w:val="00E25319"/>
    <w:rsid w:val="00E25A4E"/>
    <w:rsid w:val="00E264E0"/>
    <w:rsid w:val="00E268F8"/>
    <w:rsid w:val="00E27104"/>
    <w:rsid w:val="00E2721B"/>
    <w:rsid w:val="00E27299"/>
    <w:rsid w:val="00E2780D"/>
    <w:rsid w:val="00E2795A"/>
    <w:rsid w:val="00E27E8A"/>
    <w:rsid w:val="00E30244"/>
    <w:rsid w:val="00E304F6"/>
    <w:rsid w:val="00E307AE"/>
    <w:rsid w:val="00E30926"/>
    <w:rsid w:val="00E31092"/>
    <w:rsid w:val="00E31560"/>
    <w:rsid w:val="00E31E82"/>
    <w:rsid w:val="00E3213D"/>
    <w:rsid w:val="00E32287"/>
    <w:rsid w:val="00E32752"/>
    <w:rsid w:val="00E32DAA"/>
    <w:rsid w:val="00E33140"/>
    <w:rsid w:val="00E33D12"/>
    <w:rsid w:val="00E33F7C"/>
    <w:rsid w:val="00E3403D"/>
    <w:rsid w:val="00E34D85"/>
    <w:rsid w:val="00E35C67"/>
    <w:rsid w:val="00E35E20"/>
    <w:rsid w:val="00E35E8F"/>
    <w:rsid w:val="00E35F27"/>
    <w:rsid w:val="00E3641B"/>
    <w:rsid w:val="00E3649A"/>
    <w:rsid w:val="00E36535"/>
    <w:rsid w:val="00E36675"/>
    <w:rsid w:val="00E36D1F"/>
    <w:rsid w:val="00E374BA"/>
    <w:rsid w:val="00E37953"/>
    <w:rsid w:val="00E402F1"/>
    <w:rsid w:val="00E4060F"/>
    <w:rsid w:val="00E407F8"/>
    <w:rsid w:val="00E40E42"/>
    <w:rsid w:val="00E4113B"/>
    <w:rsid w:val="00E4130A"/>
    <w:rsid w:val="00E41439"/>
    <w:rsid w:val="00E41D95"/>
    <w:rsid w:val="00E41EBD"/>
    <w:rsid w:val="00E42334"/>
    <w:rsid w:val="00E4237D"/>
    <w:rsid w:val="00E42667"/>
    <w:rsid w:val="00E42934"/>
    <w:rsid w:val="00E42B0C"/>
    <w:rsid w:val="00E42BAF"/>
    <w:rsid w:val="00E42E69"/>
    <w:rsid w:val="00E43325"/>
    <w:rsid w:val="00E437AD"/>
    <w:rsid w:val="00E43BC9"/>
    <w:rsid w:val="00E440BF"/>
    <w:rsid w:val="00E4415C"/>
    <w:rsid w:val="00E451C1"/>
    <w:rsid w:val="00E4539F"/>
    <w:rsid w:val="00E460FA"/>
    <w:rsid w:val="00E461DC"/>
    <w:rsid w:val="00E464FB"/>
    <w:rsid w:val="00E47078"/>
    <w:rsid w:val="00E47619"/>
    <w:rsid w:val="00E47729"/>
    <w:rsid w:val="00E47AA9"/>
    <w:rsid w:val="00E5002E"/>
    <w:rsid w:val="00E50177"/>
    <w:rsid w:val="00E505CC"/>
    <w:rsid w:val="00E50712"/>
    <w:rsid w:val="00E50ABB"/>
    <w:rsid w:val="00E50F49"/>
    <w:rsid w:val="00E5109C"/>
    <w:rsid w:val="00E5122A"/>
    <w:rsid w:val="00E51429"/>
    <w:rsid w:val="00E51474"/>
    <w:rsid w:val="00E514E9"/>
    <w:rsid w:val="00E51822"/>
    <w:rsid w:val="00E52716"/>
    <w:rsid w:val="00E53BD5"/>
    <w:rsid w:val="00E53FD4"/>
    <w:rsid w:val="00E54903"/>
    <w:rsid w:val="00E54B71"/>
    <w:rsid w:val="00E54F62"/>
    <w:rsid w:val="00E54F69"/>
    <w:rsid w:val="00E55733"/>
    <w:rsid w:val="00E55F76"/>
    <w:rsid w:val="00E56440"/>
    <w:rsid w:val="00E56682"/>
    <w:rsid w:val="00E56A6F"/>
    <w:rsid w:val="00E56F9F"/>
    <w:rsid w:val="00E57238"/>
    <w:rsid w:val="00E57C57"/>
    <w:rsid w:val="00E57F27"/>
    <w:rsid w:val="00E600B8"/>
    <w:rsid w:val="00E603A8"/>
    <w:rsid w:val="00E60AD8"/>
    <w:rsid w:val="00E60F61"/>
    <w:rsid w:val="00E60FB7"/>
    <w:rsid w:val="00E619FB"/>
    <w:rsid w:val="00E61A6C"/>
    <w:rsid w:val="00E61D76"/>
    <w:rsid w:val="00E61DB5"/>
    <w:rsid w:val="00E6205D"/>
    <w:rsid w:val="00E620E8"/>
    <w:rsid w:val="00E629D7"/>
    <w:rsid w:val="00E63107"/>
    <w:rsid w:val="00E6344D"/>
    <w:rsid w:val="00E6363C"/>
    <w:rsid w:val="00E638B3"/>
    <w:rsid w:val="00E64385"/>
    <w:rsid w:val="00E64AE4"/>
    <w:rsid w:val="00E651B9"/>
    <w:rsid w:val="00E65C2D"/>
    <w:rsid w:val="00E65F31"/>
    <w:rsid w:val="00E65F52"/>
    <w:rsid w:val="00E66639"/>
    <w:rsid w:val="00E66690"/>
    <w:rsid w:val="00E66C8E"/>
    <w:rsid w:val="00E66D9F"/>
    <w:rsid w:val="00E66E3C"/>
    <w:rsid w:val="00E66E99"/>
    <w:rsid w:val="00E6712F"/>
    <w:rsid w:val="00E676D5"/>
    <w:rsid w:val="00E6775F"/>
    <w:rsid w:val="00E67C35"/>
    <w:rsid w:val="00E67E91"/>
    <w:rsid w:val="00E7086E"/>
    <w:rsid w:val="00E709D9"/>
    <w:rsid w:val="00E70A0B"/>
    <w:rsid w:val="00E70B58"/>
    <w:rsid w:val="00E71D1E"/>
    <w:rsid w:val="00E720EE"/>
    <w:rsid w:val="00E72402"/>
    <w:rsid w:val="00E7272C"/>
    <w:rsid w:val="00E7316E"/>
    <w:rsid w:val="00E735E6"/>
    <w:rsid w:val="00E7395C"/>
    <w:rsid w:val="00E73B8E"/>
    <w:rsid w:val="00E742C2"/>
    <w:rsid w:val="00E74668"/>
    <w:rsid w:val="00E74A30"/>
    <w:rsid w:val="00E74B27"/>
    <w:rsid w:val="00E74DEB"/>
    <w:rsid w:val="00E755CD"/>
    <w:rsid w:val="00E75AEF"/>
    <w:rsid w:val="00E76600"/>
    <w:rsid w:val="00E76948"/>
    <w:rsid w:val="00E77384"/>
    <w:rsid w:val="00E77B57"/>
    <w:rsid w:val="00E80009"/>
    <w:rsid w:val="00E80341"/>
    <w:rsid w:val="00E806F0"/>
    <w:rsid w:val="00E80826"/>
    <w:rsid w:val="00E810E9"/>
    <w:rsid w:val="00E81A47"/>
    <w:rsid w:val="00E8209E"/>
    <w:rsid w:val="00E8214F"/>
    <w:rsid w:val="00E822A3"/>
    <w:rsid w:val="00E8250F"/>
    <w:rsid w:val="00E8319E"/>
    <w:rsid w:val="00E83462"/>
    <w:rsid w:val="00E83973"/>
    <w:rsid w:val="00E83C9B"/>
    <w:rsid w:val="00E83FB5"/>
    <w:rsid w:val="00E8407C"/>
    <w:rsid w:val="00E84481"/>
    <w:rsid w:val="00E8461D"/>
    <w:rsid w:val="00E8487A"/>
    <w:rsid w:val="00E848B3"/>
    <w:rsid w:val="00E84E2C"/>
    <w:rsid w:val="00E84E92"/>
    <w:rsid w:val="00E85135"/>
    <w:rsid w:val="00E851C6"/>
    <w:rsid w:val="00E852CB"/>
    <w:rsid w:val="00E853E1"/>
    <w:rsid w:val="00E8566D"/>
    <w:rsid w:val="00E85E9A"/>
    <w:rsid w:val="00E860AE"/>
    <w:rsid w:val="00E861DE"/>
    <w:rsid w:val="00E8661C"/>
    <w:rsid w:val="00E86A44"/>
    <w:rsid w:val="00E8706C"/>
    <w:rsid w:val="00E87525"/>
    <w:rsid w:val="00E904FD"/>
    <w:rsid w:val="00E90AAF"/>
    <w:rsid w:val="00E90E70"/>
    <w:rsid w:val="00E9101F"/>
    <w:rsid w:val="00E9151C"/>
    <w:rsid w:val="00E919A1"/>
    <w:rsid w:val="00E924AA"/>
    <w:rsid w:val="00E92B05"/>
    <w:rsid w:val="00E930F4"/>
    <w:rsid w:val="00E9326A"/>
    <w:rsid w:val="00E9360B"/>
    <w:rsid w:val="00E942CF"/>
    <w:rsid w:val="00E94420"/>
    <w:rsid w:val="00E94811"/>
    <w:rsid w:val="00E949F4"/>
    <w:rsid w:val="00E95C7A"/>
    <w:rsid w:val="00E96512"/>
    <w:rsid w:val="00E96A06"/>
    <w:rsid w:val="00E96AB7"/>
    <w:rsid w:val="00E96D1F"/>
    <w:rsid w:val="00E96F92"/>
    <w:rsid w:val="00E97213"/>
    <w:rsid w:val="00E973C9"/>
    <w:rsid w:val="00E975EF"/>
    <w:rsid w:val="00E978F5"/>
    <w:rsid w:val="00E97A14"/>
    <w:rsid w:val="00EA042A"/>
    <w:rsid w:val="00EA06B6"/>
    <w:rsid w:val="00EA0A0F"/>
    <w:rsid w:val="00EA21A8"/>
    <w:rsid w:val="00EA2633"/>
    <w:rsid w:val="00EA26C2"/>
    <w:rsid w:val="00EA26F5"/>
    <w:rsid w:val="00EA272D"/>
    <w:rsid w:val="00EA2FF0"/>
    <w:rsid w:val="00EA3347"/>
    <w:rsid w:val="00EA34CD"/>
    <w:rsid w:val="00EA3B78"/>
    <w:rsid w:val="00EA3CE7"/>
    <w:rsid w:val="00EA3ECE"/>
    <w:rsid w:val="00EA4356"/>
    <w:rsid w:val="00EA517D"/>
    <w:rsid w:val="00EA5BBE"/>
    <w:rsid w:val="00EA5CA9"/>
    <w:rsid w:val="00EA5DC4"/>
    <w:rsid w:val="00EA5EA1"/>
    <w:rsid w:val="00EA60BA"/>
    <w:rsid w:val="00EA6256"/>
    <w:rsid w:val="00EA642C"/>
    <w:rsid w:val="00EA6A6C"/>
    <w:rsid w:val="00EA6AE5"/>
    <w:rsid w:val="00EA6DAD"/>
    <w:rsid w:val="00EA7BFF"/>
    <w:rsid w:val="00EA7E08"/>
    <w:rsid w:val="00EA7F97"/>
    <w:rsid w:val="00EB00CC"/>
    <w:rsid w:val="00EB1169"/>
    <w:rsid w:val="00EB11D5"/>
    <w:rsid w:val="00EB194D"/>
    <w:rsid w:val="00EB1C62"/>
    <w:rsid w:val="00EB1C7B"/>
    <w:rsid w:val="00EB1F27"/>
    <w:rsid w:val="00EB2738"/>
    <w:rsid w:val="00EB2924"/>
    <w:rsid w:val="00EB2F5A"/>
    <w:rsid w:val="00EB33D3"/>
    <w:rsid w:val="00EB3453"/>
    <w:rsid w:val="00EB3944"/>
    <w:rsid w:val="00EB3B26"/>
    <w:rsid w:val="00EB3BE6"/>
    <w:rsid w:val="00EB4567"/>
    <w:rsid w:val="00EB46E2"/>
    <w:rsid w:val="00EB483A"/>
    <w:rsid w:val="00EB4D00"/>
    <w:rsid w:val="00EB4F78"/>
    <w:rsid w:val="00EB5346"/>
    <w:rsid w:val="00EB57E0"/>
    <w:rsid w:val="00EB5BFC"/>
    <w:rsid w:val="00EB5C12"/>
    <w:rsid w:val="00EB5E3E"/>
    <w:rsid w:val="00EB625E"/>
    <w:rsid w:val="00EB65E2"/>
    <w:rsid w:val="00EB709A"/>
    <w:rsid w:val="00EB72D3"/>
    <w:rsid w:val="00EB7A2D"/>
    <w:rsid w:val="00EC0090"/>
    <w:rsid w:val="00EC0934"/>
    <w:rsid w:val="00EC0C8B"/>
    <w:rsid w:val="00EC1089"/>
    <w:rsid w:val="00EC270E"/>
    <w:rsid w:val="00EC2B97"/>
    <w:rsid w:val="00EC2C75"/>
    <w:rsid w:val="00EC2EF7"/>
    <w:rsid w:val="00EC300F"/>
    <w:rsid w:val="00EC32B0"/>
    <w:rsid w:val="00EC35CF"/>
    <w:rsid w:val="00EC3C71"/>
    <w:rsid w:val="00EC3DA2"/>
    <w:rsid w:val="00EC3ED0"/>
    <w:rsid w:val="00EC4354"/>
    <w:rsid w:val="00EC4BDF"/>
    <w:rsid w:val="00EC4C57"/>
    <w:rsid w:val="00EC4E1A"/>
    <w:rsid w:val="00EC5169"/>
    <w:rsid w:val="00EC52CB"/>
    <w:rsid w:val="00EC5642"/>
    <w:rsid w:val="00EC5F8E"/>
    <w:rsid w:val="00EC6217"/>
    <w:rsid w:val="00EC6E91"/>
    <w:rsid w:val="00EC6F75"/>
    <w:rsid w:val="00EC715F"/>
    <w:rsid w:val="00EC746C"/>
    <w:rsid w:val="00EC74DD"/>
    <w:rsid w:val="00EC7674"/>
    <w:rsid w:val="00EC77F0"/>
    <w:rsid w:val="00EC7BF1"/>
    <w:rsid w:val="00ED0037"/>
    <w:rsid w:val="00ED021B"/>
    <w:rsid w:val="00ED029C"/>
    <w:rsid w:val="00ED02F0"/>
    <w:rsid w:val="00ED06E4"/>
    <w:rsid w:val="00ED083C"/>
    <w:rsid w:val="00ED0A3D"/>
    <w:rsid w:val="00ED0B44"/>
    <w:rsid w:val="00ED1AE8"/>
    <w:rsid w:val="00ED1BFC"/>
    <w:rsid w:val="00ED1FE3"/>
    <w:rsid w:val="00ED2815"/>
    <w:rsid w:val="00ED2BFF"/>
    <w:rsid w:val="00ED2D8A"/>
    <w:rsid w:val="00ED300E"/>
    <w:rsid w:val="00ED3094"/>
    <w:rsid w:val="00ED3789"/>
    <w:rsid w:val="00ED379D"/>
    <w:rsid w:val="00ED4123"/>
    <w:rsid w:val="00ED43AE"/>
    <w:rsid w:val="00ED452D"/>
    <w:rsid w:val="00ED4745"/>
    <w:rsid w:val="00ED47CA"/>
    <w:rsid w:val="00ED4B54"/>
    <w:rsid w:val="00ED4DB7"/>
    <w:rsid w:val="00ED4FBB"/>
    <w:rsid w:val="00ED505A"/>
    <w:rsid w:val="00ED5075"/>
    <w:rsid w:val="00ED5958"/>
    <w:rsid w:val="00ED5D4C"/>
    <w:rsid w:val="00ED62D9"/>
    <w:rsid w:val="00ED67DB"/>
    <w:rsid w:val="00ED6E28"/>
    <w:rsid w:val="00ED71E0"/>
    <w:rsid w:val="00ED7285"/>
    <w:rsid w:val="00ED780B"/>
    <w:rsid w:val="00ED79B5"/>
    <w:rsid w:val="00ED7F03"/>
    <w:rsid w:val="00EE01AC"/>
    <w:rsid w:val="00EE044C"/>
    <w:rsid w:val="00EE0F15"/>
    <w:rsid w:val="00EE12F6"/>
    <w:rsid w:val="00EE1306"/>
    <w:rsid w:val="00EE1AF4"/>
    <w:rsid w:val="00EE1BD3"/>
    <w:rsid w:val="00EE1E74"/>
    <w:rsid w:val="00EE2391"/>
    <w:rsid w:val="00EE2876"/>
    <w:rsid w:val="00EE2B73"/>
    <w:rsid w:val="00EE2C1B"/>
    <w:rsid w:val="00EE3077"/>
    <w:rsid w:val="00EE30A5"/>
    <w:rsid w:val="00EE31E9"/>
    <w:rsid w:val="00EE3227"/>
    <w:rsid w:val="00EE32FC"/>
    <w:rsid w:val="00EE3D44"/>
    <w:rsid w:val="00EE40E9"/>
    <w:rsid w:val="00EE4106"/>
    <w:rsid w:val="00EE4A4F"/>
    <w:rsid w:val="00EE4AFE"/>
    <w:rsid w:val="00EE4FCB"/>
    <w:rsid w:val="00EE5050"/>
    <w:rsid w:val="00EE53CD"/>
    <w:rsid w:val="00EE54D1"/>
    <w:rsid w:val="00EE5B8F"/>
    <w:rsid w:val="00EE5D8C"/>
    <w:rsid w:val="00EE6324"/>
    <w:rsid w:val="00EE6973"/>
    <w:rsid w:val="00EE6E1B"/>
    <w:rsid w:val="00EE6F8E"/>
    <w:rsid w:val="00EE703A"/>
    <w:rsid w:val="00EE72C1"/>
    <w:rsid w:val="00EE788B"/>
    <w:rsid w:val="00EE7F94"/>
    <w:rsid w:val="00EE7FEE"/>
    <w:rsid w:val="00EF00A3"/>
    <w:rsid w:val="00EF0470"/>
    <w:rsid w:val="00EF08CB"/>
    <w:rsid w:val="00EF0ACF"/>
    <w:rsid w:val="00EF0C6C"/>
    <w:rsid w:val="00EF157C"/>
    <w:rsid w:val="00EF1B40"/>
    <w:rsid w:val="00EF1C5E"/>
    <w:rsid w:val="00EF1E63"/>
    <w:rsid w:val="00EF1EBA"/>
    <w:rsid w:val="00EF20CB"/>
    <w:rsid w:val="00EF2327"/>
    <w:rsid w:val="00EF2786"/>
    <w:rsid w:val="00EF32D4"/>
    <w:rsid w:val="00EF3D4A"/>
    <w:rsid w:val="00EF3D80"/>
    <w:rsid w:val="00EF3E91"/>
    <w:rsid w:val="00EF3F66"/>
    <w:rsid w:val="00EF4A90"/>
    <w:rsid w:val="00EF4B27"/>
    <w:rsid w:val="00EF4DA4"/>
    <w:rsid w:val="00EF51CC"/>
    <w:rsid w:val="00EF5605"/>
    <w:rsid w:val="00EF5D10"/>
    <w:rsid w:val="00EF5E87"/>
    <w:rsid w:val="00EF6C90"/>
    <w:rsid w:val="00EF6D69"/>
    <w:rsid w:val="00EF70BE"/>
    <w:rsid w:val="00EF76CA"/>
    <w:rsid w:val="00EF7D7B"/>
    <w:rsid w:val="00EF7E05"/>
    <w:rsid w:val="00EF7F06"/>
    <w:rsid w:val="00F00100"/>
    <w:rsid w:val="00F0014D"/>
    <w:rsid w:val="00F00324"/>
    <w:rsid w:val="00F00437"/>
    <w:rsid w:val="00F004E3"/>
    <w:rsid w:val="00F00674"/>
    <w:rsid w:val="00F00995"/>
    <w:rsid w:val="00F0125F"/>
    <w:rsid w:val="00F01551"/>
    <w:rsid w:val="00F01886"/>
    <w:rsid w:val="00F01AA4"/>
    <w:rsid w:val="00F01F4C"/>
    <w:rsid w:val="00F0235A"/>
    <w:rsid w:val="00F024DD"/>
    <w:rsid w:val="00F02972"/>
    <w:rsid w:val="00F02DE3"/>
    <w:rsid w:val="00F03111"/>
    <w:rsid w:val="00F037CD"/>
    <w:rsid w:val="00F038FE"/>
    <w:rsid w:val="00F039D0"/>
    <w:rsid w:val="00F03CD6"/>
    <w:rsid w:val="00F03DBE"/>
    <w:rsid w:val="00F04407"/>
    <w:rsid w:val="00F04688"/>
    <w:rsid w:val="00F04A41"/>
    <w:rsid w:val="00F05236"/>
    <w:rsid w:val="00F0559B"/>
    <w:rsid w:val="00F05AC0"/>
    <w:rsid w:val="00F05C3A"/>
    <w:rsid w:val="00F05E35"/>
    <w:rsid w:val="00F06D83"/>
    <w:rsid w:val="00F07045"/>
    <w:rsid w:val="00F07185"/>
    <w:rsid w:val="00F07604"/>
    <w:rsid w:val="00F1104F"/>
    <w:rsid w:val="00F11EE6"/>
    <w:rsid w:val="00F122B0"/>
    <w:rsid w:val="00F128EF"/>
    <w:rsid w:val="00F12ABD"/>
    <w:rsid w:val="00F12E03"/>
    <w:rsid w:val="00F13217"/>
    <w:rsid w:val="00F13270"/>
    <w:rsid w:val="00F1368B"/>
    <w:rsid w:val="00F13977"/>
    <w:rsid w:val="00F148F1"/>
    <w:rsid w:val="00F14A4C"/>
    <w:rsid w:val="00F14D43"/>
    <w:rsid w:val="00F158AF"/>
    <w:rsid w:val="00F1609D"/>
    <w:rsid w:val="00F16429"/>
    <w:rsid w:val="00F169D3"/>
    <w:rsid w:val="00F16C98"/>
    <w:rsid w:val="00F16CFB"/>
    <w:rsid w:val="00F16DEF"/>
    <w:rsid w:val="00F17392"/>
    <w:rsid w:val="00F178AD"/>
    <w:rsid w:val="00F17EA9"/>
    <w:rsid w:val="00F20238"/>
    <w:rsid w:val="00F2071C"/>
    <w:rsid w:val="00F20DAB"/>
    <w:rsid w:val="00F20DB4"/>
    <w:rsid w:val="00F21D83"/>
    <w:rsid w:val="00F226C5"/>
    <w:rsid w:val="00F2283A"/>
    <w:rsid w:val="00F228FB"/>
    <w:rsid w:val="00F2291C"/>
    <w:rsid w:val="00F23247"/>
    <w:rsid w:val="00F2342F"/>
    <w:rsid w:val="00F23ED6"/>
    <w:rsid w:val="00F24A2D"/>
    <w:rsid w:val="00F250EA"/>
    <w:rsid w:val="00F251A3"/>
    <w:rsid w:val="00F25C79"/>
    <w:rsid w:val="00F25C95"/>
    <w:rsid w:val="00F26067"/>
    <w:rsid w:val="00F26CBA"/>
    <w:rsid w:val="00F26FFE"/>
    <w:rsid w:val="00F27F01"/>
    <w:rsid w:val="00F30C93"/>
    <w:rsid w:val="00F30DBA"/>
    <w:rsid w:val="00F30DF5"/>
    <w:rsid w:val="00F3143A"/>
    <w:rsid w:val="00F31460"/>
    <w:rsid w:val="00F3155A"/>
    <w:rsid w:val="00F31641"/>
    <w:rsid w:val="00F317EE"/>
    <w:rsid w:val="00F3198A"/>
    <w:rsid w:val="00F31B98"/>
    <w:rsid w:val="00F31BC6"/>
    <w:rsid w:val="00F31D05"/>
    <w:rsid w:val="00F31DF4"/>
    <w:rsid w:val="00F31EDF"/>
    <w:rsid w:val="00F3230B"/>
    <w:rsid w:val="00F323BE"/>
    <w:rsid w:val="00F3272F"/>
    <w:rsid w:val="00F32C0F"/>
    <w:rsid w:val="00F32D52"/>
    <w:rsid w:val="00F32E32"/>
    <w:rsid w:val="00F3373A"/>
    <w:rsid w:val="00F33966"/>
    <w:rsid w:val="00F33A78"/>
    <w:rsid w:val="00F33AC7"/>
    <w:rsid w:val="00F34461"/>
    <w:rsid w:val="00F349A1"/>
    <w:rsid w:val="00F3504F"/>
    <w:rsid w:val="00F356A2"/>
    <w:rsid w:val="00F3593F"/>
    <w:rsid w:val="00F35BBE"/>
    <w:rsid w:val="00F35BF8"/>
    <w:rsid w:val="00F35FC3"/>
    <w:rsid w:val="00F35FCD"/>
    <w:rsid w:val="00F36C76"/>
    <w:rsid w:val="00F37025"/>
    <w:rsid w:val="00F3714D"/>
    <w:rsid w:val="00F37300"/>
    <w:rsid w:val="00F37F2A"/>
    <w:rsid w:val="00F401E7"/>
    <w:rsid w:val="00F40385"/>
    <w:rsid w:val="00F41962"/>
    <w:rsid w:val="00F426C7"/>
    <w:rsid w:val="00F42D48"/>
    <w:rsid w:val="00F42EEC"/>
    <w:rsid w:val="00F42F7E"/>
    <w:rsid w:val="00F42FB3"/>
    <w:rsid w:val="00F430E9"/>
    <w:rsid w:val="00F43C39"/>
    <w:rsid w:val="00F43CCF"/>
    <w:rsid w:val="00F43E0B"/>
    <w:rsid w:val="00F44648"/>
    <w:rsid w:val="00F44F3E"/>
    <w:rsid w:val="00F453A3"/>
    <w:rsid w:val="00F45A71"/>
    <w:rsid w:val="00F46567"/>
    <w:rsid w:val="00F46609"/>
    <w:rsid w:val="00F46A9D"/>
    <w:rsid w:val="00F46B58"/>
    <w:rsid w:val="00F46E0F"/>
    <w:rsid w:val="00F47061"/>
    <w:rsid w:val="00F473DD"/>
    <w:rsid w:val="00F47541"/>
    <w:rsid w:val="00F47A55"/>
    <w:rsid w:val="00F506F2"/>
    <w:rsid w:val="00F50B2B"/>
    <w:rsid w:val="00F51215"/>
    <w:rsid w:val="00F5163F"/>
    <w:rsid w:val="00F5199D"/>
    <w:rsid w:val="00F51ED6"/>
    <w:rsid w:val="00F52295"/>
    <w:rsid w:val="00F525FC"/>
    <w:rsid w:val="00F52AA4"/>
    <w:rsid w:val="00F52C8B"/>
    <w:rsid w:val="00F52D87"/>
    <w:rsid w:val="00F52FE2"/>
    <w:rsid w:val="00F5303C"/>
    <w:rsid w:val="00F539B4"/>
    <w:rsid w:val="00F53A2E"/>
    <w:rsid w:val="00F53F6F"/>
    <w:rsid w:val="00F54009"/>
    <w:rsid w:val="00F54015"/>
    <w:rsid w:val="00F5418D"/>
    <w:rsid w:val="00F541CB"/>
    <w:rsid w:val="00F54AF1"/>
    <w:rsid w:val="00F552EA"/>
    <w:rsid w:val="00F55973"/>
    <w:rsid w:val="00F5638D"/>
    <w:rsid w:val="00F568F8"/>
    <w:rsid w:val="00F56B59"/>
    <w:rsid w:val="00F56C2C"/>
    <w:rsid w:val="00F56DF1"/>
    <w:rsid w:val="00F572C8"/>
    <w:rsid w:val="00F57486"/>
    <w:rsid w:val="00F57FD5"/>
    <w:rsid w:val="00F601B3"/>
    <w:rsid w:val="00F6082C"/>
    <w:rsid w:val="00F60CE3"/>
    <w:rsid w:val="00F60DAF"/>
    <w:rsid w:val="00F60FE9"/>
    <w:rsid w:val="00F61034"/>
    <w:rsid w:val="00F613F6"/>
    <w:rsid w:val="00F6274E"/>
    <w:rsid w:val="00F629D9"/>
    <w:rsid w:val="00F63139"/>
    <w:rsid w:val="00F6359F"/>
    <w:rsid w:val="00F63F85"/>
    <w:rsid w:val="00F644AF"/>
    <w:rsid w:val="00F64DF7"/>
    <w:rsid w:val="00F64F2F"/>
    <w:rsid w:val="00F6501C"/>
    <w:rsid w:val="00F651BB"/>
    <w:rsid w:val="00F651C7"/>
    <w:rsid w:val="00F654F9"/>
    <w:rsid w:val="00F6628E"/>
    <w:rsid w:val="00F662E7"/>
    <w:rsid w:val="00F663FA"/>
    <w:rsid w:val="00F664C3"/>
    <w:rsid w:val="00F66BF9"/>
    <w:rsid w:val="00F66E49"/>
    <w:rsid w:val="00F6718B"/>
    <w:rsid w:val="00F67915"/>
    <w:rsid w:val="00F67F6F"/>
    <w:rsid w:val="00F705C1"/>
    <w:rsid w:val="00F70A1C"/>
    <w:rsid w:val="00F7101A"/>
    <w:rsid w:val="00F7104B"/>
    <w:rsid w:val="00F71996"/>
    <w:rsid w:val="00F723A6"/>
    <w:rsid w:val="00F727A0"/>
    <w:rsid w:val="00F72A13"/>
    <w:rsid w:val="00F73144"/>
    <w:rsid w:val="00F73428"/>
    <w:rsid w:val="00F73443"/>
    <w:rsid w:val="00F73503"/>
    <w:rsid w:val="00F737AF"/>
    <w:rsid w:val="00F73FA2"/>
    <w:rsid w:val="00F74BD9"/>
    <w:rsid w:val="00F74BE8"/>
    <w:rsid w:val="00F75700"/>
    <w:rsid w:val="00F75CBB"/>
    <w:rsid w:val="00F75D49"/>
    <w:rsid w:val="00F75D4E"/>
    <w:rsid w:val="00F75F66"/>
    <w:rsid w:val="00F7607A"/>
    <w:rsid w:val="00F76536"/>
    <w:rsid w:val="00F76953"/>
    <w:rsid w:val="00F76E9F"/>
    <w:rsid w:val="00F77AE1"/>
    <w:rsid w:val="00F77B91"/>
    <w:rsid w:val="00F8043E"/>
    <w:rsid w:val="00F807CB"/>
    <w:rsid w:val="00F809EE"/>
    <w:rsid w:val="00F80B41"/>
    <w:rsid w:val="00F80F90"/>
    <w:rsid w:val="00F819D4"/>
    <w:rsid w:val="00F81A38"/>
    <w:rsid w:val="00F81CF0"/>
    <w:rsid w:val="00F820BD"/>
    <w:rsid w:val="00F8227E"/>
    <w:rsid w:val="00F8228F"/>
    <w:rsid w:val="00F823A0"/>
    <w:rsid w:val="00F828F4"/>
    <w:rsid w:val="00F8306E"/>
    <w:rsid w:val="00F83963"/>
    <w:rsid w:val="00F839F1"/>
    <w:rsid w:val="00F83B13"/>
    <w:rsid w:val="00F83E16"/>
    <w:rsid w:val="00F83E33"/>
    <w:rsid w:val="00F83F66"/>
    <w:rsid w:val="00F83F99"/>
    <w:rsid w:val="00F840E6"/>
    <w:rsid w:val="00F84226"/>
    <w:rsid w:val="00F846C5"/>
    <w:rsid w:val="00F84A99"/>
    <w:rsid w:val="00F84F17"/>
    <w:rsid w:val="00F851F3"/>
    <w:rsid w:val="00F85468"/>
    <w:rsid w:val="00F856E2"/>
    <w:rsid w:val="00F86BFF"/>
    <w:rsid w:val="00F86C8A"/>
    <w:rsid w:val="00F870F3"/>
    <w:rsid w:val="00F8727D"/>
    <w:rsid w:val="00F87761"/>
    <w:rsid w:val="00F8787A"/>
    <w:rsid w:val="00F87B11"/>
    <w:rsid w:val="00F87D2C"/>
    <w:rsid w:val="00F9044F"/>
    <w:rsid w:val="00F90557"/>
    <w:rsid w:val="00F9069C"/>
    <w:rsid w:val="00F90F95"/>
    <w:rsid w:val="00F919AF"/>
    <w:rsid w:val="00F91BFD"/>
    <w:rsid w:val="00F920A8"/>
    <w:rsid w:val="00F9276E"/>
    <w:rsid w:val="00F928BA"/>
    <w:rsid w:val="00F928C6"/>
    <w:rsid w:val="00F930F3"/>
    <w:rsid w:val="00F93374"/>
    <w:rsid w:val="00F93A4A"/>
    <w:rsid w:val="00F94024"/>
    <w:rsid w:val="00F9449D"/>
    <w:rsid w:val="00F944F6"/>
    <w:rsid w:val="00F9454A"/>
    <w:rsid w:val="00F95BA8"/>
    <w:rsid w:val="00F9688D"/>
    <w:rsid w:val="00F96B15"/>
    <w:rsid w:val="00F97C59"/>
    <w:rsid w:val="00F97DBC"/>
    <w:rsid w:val="00F97ECF"/>
    <w:rsid w:val="00FA0121"/>
    <w:rsid w:val="00FA01F8"/>
    <w:rsid w:val="00FA0242"/>
    <w:rsid w:val="00FA1159"/>
    <w:rsid w:val="00FA2018"/>
    <w:rsid w:val="00FA2035"/>
    <w:rsid w:val="00FA2148"/>
    <w:rsid w:val="00FA2548"/>
    <w:rsid w:val="00FA27BF"/>
    <w:rsid w:val="00FA2824"/>
    <w:rsid w:val="00FA2977"/>
    <w:rsid w:val="00FA2B92"/>
    <w:rsid w:val="00FA348F"/>
    <w:rsid w:val="00FA35E5"/>
    <w:rsid w:val="00FA3801"/>
    <w:rsid w:val="00FA3DAB"/>
    <w:rsid w:val="00FA4034"/>
    <w:rsid w:val="00FA4ED3"/>
    <w:rsid w:val="00FA50A8"/>
    <w:rsid w:val="00FA5303"/>
    <w:rsid w:val="00FA5709"/>
    <w:rsid w:val="00FA5871"/>
    <w:rsid w:val="00FA5F13"/>
    <w:rsid w:val="00FA640D"/>
    <w:rsid w:val="00FA6635"/>
    <w:rsid w:val="00FA6E63"/>
    <w:rsid w:val="00FA7800"/>
    <w:rsid w:val="00FA78DA"/>
    <w:rsid w:val="00FA7913"/>
    <w:rsid w:val="00FA7EF2"/>
    <w:rsid w:val="00FB021F"/>
    <w:rsid w:val="00FB03C4"/>
    <w:rsid w:val="00FB057D"/>
    <w:rsid w:val="00FB0CCE"/>
    <w:rsid w:val="00FB0D3F"/>
    <w:rsid w:val="00FB0DE8"/>
    <w:rsid w:val="00FB0F0C"/>
    <w:rsid w:val="00FB1631"/>
    <w:rsid w:val="00FB17BC"/>
    <w:rsid w:val="00FB1B12"/>
    <w:rsid w:val="00FB1CC1"/>
    <w:rsid w:val="00FB2622"/>
    <w:rsid w:val="00FB2E0E"/>
    <w:rsid w:val="00FB2F8A"/>
    <w:rsid w:val="00FB2FE5"/>
    <w:rsid w:val="00FB376A"/>
    <w:rsid w:val="00FB3AB6"/>
    <w:rsid w:val="00FB3DB4"/>
    <w:rsid w:val="00FB3ED9"/>
    <w:rsid w:val="00FB493F"/>
    <w:rsid w:val="00FB49E7"/>
    <w:rsid w:val="00FB4CD9"/>
    <w:rsid w:val="00FB4EF8"/>
    <w:rsid w:val="00FB578F"/>
    <w:rsid w:val="00FB5996"/>
    <w:rsid w:val="00FB59AC"/>
    <w:rsid w:val="00FB5C56"/>
    <w:rsid w:val="00FB63C1"/>
    <w:rsid w:val="00FB691A"/>
    <w:rsid w:val="00FB69D8"/>
    <w:rsid w:val="00FB6B6D"/>
    <w:rsid w:val="00FB6C2D"/>
    <w:rsid w:val="00FB7580"/>
    <w:rsid w:val="00FB7EFF"/>
    <w:rsid w:val="00FC022B"/>
    <w:rsid w:val="00FC02C0"/>
    <w:rsid w:val="00FC038C"/>
    <w:rsid w:val="00FC07DA"/>
    <w:rsid w:val="00FC0D02"/>
    <w:rsid w:val="00FC0D35"/>
    <w:rsid w:val="00FC130F"/>
    <w:rsid w:val="00FC135B"/>
    <w:rsid w:val="00FC1413"/>
    <w:rsid w:val="00FC1543"/>
    <w:rsid w:val="00FC16F8"/>
    <w:rsid w:val="00FC1732"/>
    <w:rsid w:val="00FC1CEC"/>
    <w:rsid w:val="00FC1FEA"/>
    <w:rsid w:val="00FC2991"/>
    <w:rsid w:val="00FC30BB"/>
    <w:rsid w:val="00FC33DD"/>
    <w:rsid w:val="00FC466E"/>
    <w:rsid w:val="00FC4846"/>
    <w:rsid w:val="00FC4A83"/>
    <w:rsid w:val="00FC4D70"/>
    <w:rsid w:val="00FC4FD8"/>
    <w:rsid w:val="00FC5608"/>
    <w:rsid w:val="00FC61AA"/>
    <w:rsid w:val="00FC61D7"/>
    <w:rsid w:val="00FC6268"/>
    <w:rsid w:val="00FC657B"/>
    <w:rsid w:val="00FC66B1"/>
    <w:rsid w:val="00FC6A22"/>
    <w:rsid w:val="00FC6CA8"/>
    <w:rsid w:val="00FC7083"/>
    <w:rsid w:val="00FC70AD"/>
    <w:rsid w:val="00FC70FD"/>
    <w:rsid w:val="00FC71F2"/>
    <w:rsid w:val="00FC76FE"/>
    <w:rsid w:val="00FC79FE"/>
    <w:rsid w:val="00FD0663"/>
    <w:rsid w:val="00FD07FA"/>
    <w:rsid w:val="00FD08BD"/>
    <w:rsid w:val="00FD0D50"/>
    <w:rsid w:val="00FD10AF"/>
    <w:rsid w:val="00FD138B"/>
    <w:rsid w:val="00FD224E"/>
    <w:rsid w:val="00FD24CB"/>
    <w:rsid w:val="00FD2A88"/>
    <w:rsid w:val="00FD3344"/>
    <w:rsid w:val="00FD3CBD"/>
    <w:rsid w:val="00FD4022"/>
    <w:rsid w:val="00FD40CD"/>
    <w:rsid w:val="00FD46FE"/>
    <w:rsid w:val="00FD49CC"/>
    <w:rsid w:val="00FD4D2C"/>
    <w:rsid w:val="00FD4D34"/>
    <w:rsid w:val="00FD5127"/>
    <w:rsid w:val="00FD5262"/>
    <w:rsid w:val="00FD547D"/>
    <w:rsid w:val="00FD5923"/>
    <w:rsid w:val="00FD5AF9"/>
    <w:rsid w:val="00FD5B18"/>
    <w:rsid w:val="00FD5CB3"/>
    <w:rsid w:val="00FD5F0E"/>
    <w:rsid w:val="00FD5FCC"/>
    <w:rsid w:val="00FD6082"/>
    <w:rsid w:val="00FD6270"/>
    <w:rsid w:val="00FD6972"/>
    <w:rsid w:val="00FD6AB5"/>
    <w:rsid w:val="00FD7472"/>
    <w:rsid w:val="00FD7521"/>
    <w:rsid w:val="00FD7B58"/>
    <w:rsid w:val="00FD7BBF"/>
    <w:rsid w:val="00FE0042"/>
    <w:rsid w:val="00FE0187"/>
    <w:rsid w:val="00FE01F4"/>
    <w:rsid w:val="00FE082F"/>
    <w:rsid w:val="00FE0BC6"/>
    <w:rsid w:val="00FE1B8A"/>
    <w:rsid w:val="00FE25E4"/>
    <w:rsid w:val="00FE2BC1"/>
    <w:rsid w:val="00FE2CF1"/>
    <w:rsid w:val="00FE2D4B"/>
    <w:rsid w:val="00FE396E"/>
    <w:rsid w:val="00FE3A85"/>
    <w:rsid w:val="00FE3B0F"/>
    <w:rsid w:val="00FE40BE"/>
    <w:rsid w:val="00FE421B"/>
    <w:rsid w:val="00FE4836"/>
    <w:rsid w:val="00FE4991"/>
    <w:rsid w:val="00FE5BFE"/>
    <w:rsid w:val="00FE5C63"/>
    <w:rsid w:val="00FE5E14"/>
    <w:rsid w:val="00FE64AF"/>
    <w:rsid w:val="00FE69A4"/>
    <w:rsid w:val="00FE7873"/>
    <w:rsid w:val="00FE78AA"/>
    <w:rsid w:val="00FE79A8"/>
    <w:rsid w:val="00FF0028"/>
    <w:rsid w:val="00FF02EE"/>
    <w:rsid w:val="00FF07BC"/>
    <w:rsid w:val="00FF0AC2"/>
    <w:rsid w:val="00FF0EE5"/>
    <w:rsid w:val="00FF11B7"/>
    <w:rsid w:val="00FF1926"/>
    <w:rsid w:val="00FF19E9"/>
    <w:rsid w:val="00FF1BC5"/>
    <w:rsid w:val="00FF1EBB"/>
    <w:rsid w:val="00FF23A6"/>
    <w:rsid w:val="00FF269E"/>
    <w:rsid w:val="00FF292F"/>
    <w:rsid w:val="00FF2EFE"/>
    <w:rsid w:val="00FF3C78"/>
    <w:rsid w:val="00FF3EB1"/>
    <w:rsid w:val="00FF44C5"/>
    <w:rsid w:val="00FF486B"/>
    <w:rsid w:val="00FF4937"/>
    <w:rsid w:val="00FF4AB7"/>
    <w:rsid w:val="00FF4C08"/>
    <w:rsid w:val="00FF4D58"/>
    <w:rsid w:val="00FF4FB9"/>
    <w:rsid w:val="00FF523B"/>
    <w:rsid w:val="00FF5654"/>
    <w:rsid w:val="00FF587D"/>
    <w:rsid w:val="00FF5F28"/>
    <w:rsid w:val="00FF6B0C"/>
    <w:rsid w:val="00FF6C36"/>
  </w:rsids>
  <m:mathPr>
    <m:mathFont m:val="Cambria Math"/>
    <m:brkBin m:val="before"/>
    <m:brkBinSub m:val="--"/>
    <m:smallFrac m:val="0"/>
    <m:dispDef/>
    <m:lMargin m:val="0"/>
    <m:rMargin m:val="0"/>
    <m:defJc m:val="centerGroup"/>
    <m:wrapIndent m:val="1440"/>
    <m:intLim m:val="subSup"/>
    <m:naryLim m:val="undOvr"/>
  </m:mathPr>
  <w:themeFontLang w:val="en-CA" w:eastAsia="zh-CN" w:bidi="my-MM"/>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3F2E17"/>
  <w15:docId w15:val="{4FAF8761-C448-40BD-912E-A086DABC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locked="1"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locked="1"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F3726"/>
    <w:pPr>
      <w:spacing w:after="0" w:line="240" w:lineRule="auto"/>
    </w:pPr>
    <w:rPr>
      <w:rFonts w:ascii="Times New Roman" w:hAnsi="Times New Roman"/>
    </w:rPr>
  </w:style>
  <w:style w:type="paragraph" w:styleId="1">
    <w:name w:val="heading 1"/>
    <w:basedOn w:val="a1"/>
    <w:next w:val="a1"/>
    <w:link w:val="10"/>
    <w:uiPriority w:val="9"/>
    <w:qFormat/>
    <w:rsid w:val="00252F7C"/>
    <w:pPr>
      <w:keepNext/>
      <w:keepLines/>
      <w:spacing w:before="440" w:after="220"/>
      <w:ind w:left="720" w:hanging="720"/>
      <w:outlineLvl w:val="0"/>
    </w:pPr>
    <w:rPr>
      <w:rFonts w:eastAsiaTheme="majorEastAsia" w:cstheme="majorBidi"/>
      <w:b/>
      <w:bCs/>
      <w:caps/>
      <w:szCs w:val="28"/>
      <w:lang w:val="en-CA"/>
    </w:rPr>
  </w:style>
  <w:style w:type="paragraph" w:styleId="21">
    <w:name w:val="heading 2"/>
    <w:basedOn w:val="a1"/>
    <w:next w:val="a1"/>
    <w:link w:val="22"/>
    <w:uiPriority w:val="9"/>
    <w:unhideWhenUsed/>
    <w:qFormat/>
    <w:rsid w:val="009F3726"/>
    <w:pPr>
      <w:keepNext/>
      <w:keepLines/>
      <w:spacing w:before="220" w:after="220"/>
      <w:ind w:left="720" w:hanging="720"/>
      <w:outlineLvl w:val="1"/>
    </w:pPr>
    <w:rPr>
      <w:rFonts w:eastAsiaTheme="majorEastAsia" w:cstheme="majorBidi"/>
      <w:b/>
      <w:bCs/>
      <w:szCs w:val="26"/>
      <w:lang w:val="en-CA"/>
    </w:rPr>
  </w:style>
  <w:style w:type="paragraph" w:styleId="30">
    <w:name w:val="heading 3"/>
    <w:basedOn w:val="a1"/>
    <w:next w:val="a1"/>
    <w:link w:val="31"/>
    <w:uiPriority w:val="9"/>
    <w:unhideWhenUsed/>
    <w:qFormat/>
    <w:rsid w:val="007D0A3D"/>
    <w:pPr>
      <w:keepNext/>
      <w:keepLines/>
      <w:spacing w:before="220"/>
      <w:outlineLvl w:val="2"/>
    </w:pPr>
    <w:rPr>
      <w:rFonts w:eastAsiaTheme="majorEastAsia" w:cstheme="majorBidi"/>
      <w:bCs/>
      <w:u w:val="single"/>
      <w:lang w:val="en-CA"/>
    </w:rPr>
  </w:style>
  <w:style w:type="paragraph" w:styleId="41">
    <w:name w:val="heading 4"/>
    <w:basedOn w:val="a1"/>
    <w:next w:val="a1"/>
    <w:link w:val="42"/>
    <w:uiPriority w:val="9"/>
    <w:unhideWhenUsed/>
    <w:qFormat/>
    <w:rsid w:val="007D0A3D"/>
    <w:pPr>
      <w:keepNext/>
      <w:keepLines/>
      <w:spacing w:before="220"/>
      <w:outlineLvl w:val="3"/>
    </w:pPr>
    <w:rPr>
      <w:rFonts w:eastAsiaTheme="majorEastAsia" w:cstheme="majorBidi"/>
      <w:bCs/>
      <w:i/>
      <w:iCs/>
      <w:lang w:val="en-CA"/>
    </w:rPr>
  </w:style>
  <w:style w:type="paragraph" w:styleId="51">
    <w:name w:val="heading 5"/>
    <w:basedOn w:val="a1"/>
    <w:next w:val="a1"/>
    <w:link w:val="52"/>
    <w:uiPriority w:val="9"/>
    <w:unhideWhenUsed/>
    <w:qFormat/>
    <w:rsid w:val="00715594"/>
    <w:pPr>
      <w:keepNext/>
      <w:keepLines/>
      <w:spacing w:after="240"/>
      <w:outlineLvl w:val="4"/>
    </w:pPr>
    <w:rPr>
      <w:rFonts w:eastAsiaTheme="majorEastAsia" w:cstheme="majorBidi"/>
      <w:i/>
      <w:u w:val="single"/>
      <w:lang w:val="en-CA"/>
    </w:rPr>
  </w:style>
  <w:style w:type="paragraph" w:styleId="6">
    <w:name w:val="heading 6"/>
    <w:basedOn w:val="a1"/>
    <w:next w:val="a1"/>
    <w:link w:val="60"/>
    <w:uiPriority w:val="9"/>
    <w:unhideWhenUsed/>
    <w:qFormat/>
    <w:rsid w:val="00715594"/>
    <w:pPr>
      <w:keepNext/>
      <w:keepLines/>
      <w:spacing w:after="240"/>
      <w:outlineLvl w:val="5"/>
    </w:pPr>
    <w:rPr>
      <w:rFonts w:eastAsiaTheme="majorEastAsia" w:cstheme="majorBidi"/>
      <w:iCs/>
      <w:lang w:val="en-CA"/>
    </w:rPr>
  </w:style>
  <w:style w:type="paragraph" w:styleId="7">
    <w:name w:val="heading 7"/>
    <w:basedOn w:val="a1"/>
    <w:next w:val="a1"/>
    <w:link w:val="70"/>
    <w:uiPriority w:val="9"/>
    <w:unhideWhenUsed/>
    <w:qFormat/>
    <w:rsid w:val="00AD7C6C"/>
    <w:pPr>
      <w:keepNext/>
      <w:keepLines/>
      <w:numPr>
        <w:ilvl w:val="6"/>
        <w:numId w:val="1"/>
      </w:numPr>
      <w:spacing w:before="200"/>
      <w:outlineLvl w:val="6"/>
    </w:pPr>
    <w:rPr>
      <w:rFonts w:eastAsiaTheme="majorEastAsia" w:cstheme="majorBidi"/>
      <w:iCs/>
    </w:rPr>
  </w:style>
  <w:style w:type="paragraph" w:styleId="8">
    <w:name w:val="heading 8"/>
    <w:basedOn w:val="a1"/>
    <w:next w:val="a1"/>
    <w:link w:val="80"/>
    <w:uiPriority w:val="9"/>
    <w:semiHidden/>
    <w:unhideWhenUsed/>
    <w:qFormat/>
    <w:rsid w:val="00AD7C6C"/>
    <w:pPr>
      <w:keepNext/>
      <w:keepLines/>
      <w:numPr>
        <w:ilvl w:val="7"/>
        <w:numId w:val="1"/>
      </w:numPr>
      <w:spacing w:before="200"/>
      <w:outlineLvl w:val="7"/>
    </w:pPr>
    <w:rPr>
      <w:rFonts w:eastAsiaTheme="majorEastAsia" w:cstheme="majorBidi"/>
    </w:rPr>
  </w:style>
  <w:style w:type="paragraph" w:styleId="9">
    <w:name w:val="heading 9"/>
    <w:basedOn w:val="a1"/>
    <w:next w:val="a1"/>
    <w:link w:val="90"/>
    <w:uiPriority w:val="9"/>
    <w:semiHidden/>
    <w:unhideWhenUsed/>
    <w:qFormat/>
    <w:rsid w:val="00AD7C6C"/>
    <w:pPr>
      <w:keepNext/>
      <w:keepLines/>
      <w:numPr>
        <w:ilvl w:val="8"/>
        <w:numId w:val="1"/>
      </w:numPr>
      <w:spacing w:before="200"/>
      <w:outlineLvl w:val="8"/>
    </w:pPr>
    <w:rPr>
      <w:rFonts w:eastAsiaTheme="majorEastAsia" w:cstheme="majorBid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caption"/>
    <w:basedOn w:val="a6"/>
    <w:next w:val="a1"/>
    <w:unhideWhenUsed/>
    <w:qFormat/>
    <w:rsid w:val="00715594"/>
    <w:rPr>
      <w:b/>
      <w:bCs/>
      <w:szCs w:val="22"/>
      <w:lang w:val="en-US" w:eastAsia="en-US"/>
    </w:rPr>
  </w:style>
  <w:style w:type="character" w:styleId="a7">
    <w:name w:val="footnote reference"/>
    <w:basedOn w:val="a2"/>
    <w:uiPriority w:val="99"/>
    <w:rsid w:val="00AD7C6C"/>
    <w:rPr>
      <w:vertAlign w:val="superscript"/>
    </w:rPr>
  </w:style>
  <w:style w:type="paragraph" w:styleId="a8">
    <w:name w:val="footnote text"/>
    <w:basedOn w:val="a1"/>
    <w:link w:val="a9"/>
    <w:uiPriority w:val="99"/>
    <w:rsid w:val="00AD7C6C"/>
    <w:rPr>
      <w:sz w:val="20"/>
    </w:rPr>
  </w:style>
  <w:style w:type="character" w:customStyle="1" w:styleId="a9">
    <w:name w:val="Текст сноски Знак"/>
    <w:basedOn w:val="a2"/>
    <w:link w:val="a8"/>
    <w:uiPriority w:val="99"/>
    <w:rsid w:val="00AD7C6C"/>
    <w:rPr>
      <w:rFonts w:ascii="Arial" w:hAnsi="Arial"/>
      <w:sz w:val="20"/>
      <w:szCs w:val="20"/>
    </w:rPr>
  </w:style>
  <w:style w:type="paragraph" w:styleId="aa">
    <w:name w:val="List Paragraph"/>
    <w:basedOn w:val="a1"/>
    <w:uiPriority w:val="34"/>
    <w:qFormat/>
    <w:rsid w:val="00715594"/>
    <w:pPr>
      <w:ind w:left="720"/>
    </w:pPr>
    <w:rPr>
      <w:rFonts w:eastAsiaTheme="minorHAnsi"/>
      <w:lang w:val="en-CA"/>
    </w:rPr>
  </w:style>
  <w:style w:type="character" w:styleId="ab">
    <w:name w:val="Placeholder Text"/>
    <w:basedOn w:val="a2"/>
    <w:uiPriority w:val="99"/>
    <w:rsid w:val="00715594"/>
    <w:rPr>
      <w:color w:val="808080"/>
    </w:rPr>
  </w:style>
  <w:style w:type="paragraph" w:styleId="ac">
    <w:name w:val="Balloon Text"/>
    <w:basedOn w:val="a1"/>
    <w:link w:val="ad"/>
    <w:uiPriority w:val="99"/>
    <w:semiHidden/>
    <w:unhideWhenUsed/>
    <w:rsid w:val="00715594"/>
    <w:rPr>
      <w:rFonts w:ascii="Tahoma" w:eastAsiaTheme="minorHAnsi" w:hAnsi="Tahoma" w:cs="Tahoma"/>
      <w:sz w:val="16"/>
      <w:szCs w:val="16"/>
      <w:lang w:val="en-CA"/>
    </w:rPr>
  </w:style>
  <w:style w:type="character" w:customStyle="1" w:styleId="ad">
    <w:name w:val="Текст выноски Знак"/>
    <w:basedOn w:val="a2"/>
    <w:link w:val="ac"/>
    <w:uiPriority w:val="99"/>
    <w:semiHidden/>
    <w:rsid w:val="00715594"/>
    <w:rPr>
      <w:rFonts w:ascii="Tahoma" w:eastAsiaTheme="minorHAnsi" w:hAnsi="Tahoma" w:cs="Tahoma"/>
      <w:sz w:val="16"/>
      <w:szCs w:val="16"/>
      <w:lang w:val="en-CA"/>
    </w:rPr>
  </w:style>
  <w:style w:type="character" w:customStyle="1" w:styleId="10">
    <w:name w:val="Заголовок 1 Знак"/>
    <w:basedOn w:val="a2"/>
    <w:link w:val="1"/>
    <w:uiPriority w:val="9"/>
    <w:rsid w:val="00252F7C"/>
    <w:rPr>
      <w:rFonts w:ascii="Times New Roman" w:eastAsiaTheme="majorEastAsia" w:hAnsi="Times New Roman" w:cstheme="majorBidi"/>
      <w:b/>
      <w:bCs/>
      <w:caps/>
      <w:szCs w:val="28"/>
      <w:shd w:val="clear" w:color="auto" w:fill="auto"/>
      <w:lang w:val="en-CA"/>
    </w:rPr>
  </w:style>
  <w:style w:type="paragraph" w:styleId="ae">
    <w:name w:val="Title"/>
    <w:basedOn w:val="a1"/>
    <w:next w:val="1"/>
    <w:link w:val="af"/>
    <w:uiPriority w:val="10"/>
    <w:qFormat/>
    <w:rsid w:val="00071193"/>
    <w:pPr>
      <w:spacing w:before="240" w:after="220"/>
      <w:jc w:val="center"/>
    </w:pPr>
    <w:rPr>
      <w:rFonts w:ascii="Times New Roman Bold" w:eastAsiaTheme="majorEastAsia" w:hAnsi="Times New Roman Bold" w:cstheme="majorBidi"/>
      <w:b/>
      <w:caps/>
      <w:spacing w:val="5"/>
      <w:kern w:val="28"/>
      <w:szCs w:val="52"/>
      <w:lang w:val="en-CA"/>
    </w:rPr>
  </w:style>
  <w:style w:type="character" w:customStyle="1" w:styleId="af">
    <w:name w:val="Название Знак"/>
    <w:basedOn w:val="a2"/>
    <w:link w:val="ae"/>
    <w:uiPriority w:val="10"/>
    <w:rsid w:val="00071193"/>
    <w:rPr>
      <w:rFonts w:ascii="Times New Roman Bold" w:eastAsiaTheme="majorEastAsia" w:hAnsi="Times New Roman Bold" w:cstheme="majorBidi"/>
      <w:b/>
      <w:caps/>
      <w:spacing w:val="5"/>
      <w:kern w:val="28"/>
      <w:szCs w:val="52"/>
      <w:shd w:val="clear" w:color="auto" w:fill="auto"/>
      <w:lang w:val="en-CA"/>
    </w:rPr>
  </w:style>
  <w:style w:type="character" w:customStyle="1" w:styleId="22">
    <w:name w:val="Заголовок 2 Знак"/>
    <w:basedOn w:val="a2"/>
    <w:link w:val="21"/>
    <w:uiPriority w:val="9"/>
    <w:rsid w:val="009F3726"/>
    <w:rPr>
      <w:rFonts w:ascii="Times New Roman" w:eastAsiaTheme="majorEastAsia" w:hAnsi="Times New Roman" w:cstheme="majorBidi"/>
      <w:b/>
      <w:bCs/>
      <w:szCs w:val="26"/>
      <w:lang w:val="en-CA"/>
    </w:rPr>
  </w:style>
  <w:style w:type="character" w:customStyle="1" w:styleId="31">
    <w:name w:val="Заголовок 3 Знак"/>
    <w:basedOn w:val="a2"/>
    <w:link w:val="30"/>
    <w:uiPriority w:val="9"/>
    <w:rsid w:val="007D0A3D"/>
    <w:rPr>
      <w:rFonts w:ascii="Times New Roman" w:eastAsiaTheme="majorEastAsia" w:hAnsi="Times New Roman" w:cstheme="majorBidi"/>
      <w:bCs/>
      <w:u w:val="single"/>
      <w:lang w:val="en-CA"/>
    </w:rPr>
  </w:style>
  <w:style w:type="paragraph" w:styleId="a6">
    <w:name w:val="Body Text"/>
    <w:basedOn w:val="a1"/>
    <w:link w:val="af0"/>
    <w:unhideWhenUsed/>
    <w:rsid w:val="0085291C"/>
    <w:pPr>
      <w:spacing w:after="220"/>
    </w:pPr>
    <w:rPr>
      <w:rFonts w:eastAsia="Times New Roman" w:cs="Times New Roman"/>
      <w:szCs w:val="24"/>
      <w:lang w:val="en-CA" w:eastAsia="en-CA"/>
    </w:rPr>
  </w:style>
  <w:style w:type="character" w:customStyle="1" w:styleId="af0">
    <w:name w:val="Основной текст Знак"/>
    <w:basedOn w:val="a2"/>
    <w:link w:val="a6"/>
    <w:rsid w:val="0085291C"/>
    <w:rPr>
      <w:rFonts w:ascii="Times New Roman" w:eastAsia="Times New Roman" w:hAnsi="Times New Roman" w:cs="Times New Roman"/>
      <w:szCs w:val="24"/>
      <w:lang w:val="en-CA" w:eastAsia="en-CA"/>
    </w:rPr>
  </w:style>
  <w:style w:type="character" w:customStyle="1" w:styleId="Bold">
    <w:name w:val="Bold"/>
    <w:basedOn w:val="a2"/>
    <w:locked/>
    <w:rsid w:val="00715594"/>
    <w:rPr>
      <w:b/>
      <w:bCs w:val="0"/>
    </w:rPr>
  </w:style>
  <w:style w:type="character" w:styleId="af1">
    <w:name w:val="endnote reference"/>
    <w:basedOn w:val="a2"/>
    <w:uiPriority w:val="99"/>
    <w:semiHidden/>
    <w:unhideWhenUsed/>
    <w:rsid w:val="00AD7C6C"/>
    <w:rPr>
      <w:vertAlign w:val="superscript"/>
    </w:rPr>
  </w:style>
  <w:style w:type="paragraph" w:styleId="af2">
    <w:name w:val="endnote text"/>
    <w:basedOn w:val="a1"/>
    <w:link w:val="af3"/>
    <w:semiHidden/>
    <w:rsid w:val="00715594"/>
    <w:pPr>
      <w:tabs>
        <w:tab w:val="left" w:pos="567"/>
      </w:tabs>
    </w:pPr>
    <w:rPr>
      <w:rFonts w:eastAsia="Times New Roman" w:cs="Times New Roman"/>
      <w:szCs w:val="20"/>
      <w:lang w:val="en-GB"/>
    </w:rPr>
  </w:style>
  <w:style w:type="character" w:customStyle="1" w:styleId="af3">
    <w:name w:val="Текст концевой сноски Знак"/>
    <w:basedOn w:val="a2"/>
    <w:link w:val="af2"/>
    <w:semiHidden/>
    <w:rsid w:val="00715594"/>
    <w:rPr>
      <w:rFonts w:ascii="Times New Roman" w:eastAsia="Times New Roman" w:hAnsi="Times New Roman" w:cs="Times New Roman"/>
      <w:szCs w:val="20"/>
      <w:lang w:val="en-GB"/>
    </w:rPr>
  </w:style>
  <w:style w:type="paragraph" w:styleId="af4">
    <w:name w:val="footer"/>
    <w:basedOn w:val="a1"/>
    <w:link w:val="af5"/>
    <w:uiPriority w:val="99"/>
    <w:unhideWhenUsed/>
    <w:rsid w:val="00715594"/>
    <w:pPr>
      <w:tabs>
        <w:tab w:val="center" w:pos="4680"/>
        <w:tab w:val="right" w:pos="9360"/>
      </w:tabs>
    </w:pPr>
    <w:rPr>
      <w:rFonts w:eastAsiaTheme="minorHAnsi"/>
      <w:color w:val="000000" w:themeColor="text1"/>
      <w:lang w:val="en-CA"/>
    </w:rPr>
  </w:style>
  <w:style w:type="character" w:customStyle="1" w:styleId="af5">
    <w:name w:val="Нижний колонтитул Знак"/>
    <w:basedOn w:val="a2"/>
    <w:link w:val="af4"/>
    <w:uiPriority w:val="99"/>
    <w:rsid w:val="00715594"/>
    <w:rPr>
      <w:rFonts w:ascii="Times New Roman" w:eastAsiaTheme="minorHAnsi" w:hAnsi="Times New Roman"/>
      <w:color w:val="000000" w:themeColor="text1"/>
      <w:lang w:val="en-CA"/>
    </w:rPr>
  </w:style>
  <w:style w:type="paragraph" w:styleId="af6">
    <w:name w:val="header"/>
    <w:basedOn w:val="a1"/>
    <w:link w:val="af7"/>
    <w:uiPriority w:val="99"/>
    <w:unhideWhenUsed/>
    <w:rsid w:val="00715594"/>
    <w:pPr>
      <w:tabs>
        <w:tab w:val="center" w:pos="4680"/>
        <w:tab w:val="right" w:pos="9360"/>
      </w:tabs>
    </w:pPr>
    <w:rPr>
      <w:rFonts w:eastAsiaTheme="minorHAnsi"/>
      <w:lang w:val="en-CA"/>
    </w:rPr>
  </w:style>
  <w:style w:type="character" w:customStyle="1" w:styleId="af7">
    <w:name w:val="Верхний колонтитул Знак"/>
    <w:basedOn w:val="a2"/>
    <w:link w:val="af6"/>
    <w:uiPriority w:val="99"/>
    <w:rsid w:val="00715594"/>
    <w:rPr>
      <w:rFonts w:ascii="Times New Roman" w:eastAsiaTheme="minorHAnsi" w:hAnsi="Times New Roman"/>
      <w:lang w:val="en-CA"/>
    </w:rPr>
  </w:style>
  <w:style w:type="character" w:customStyle="1" w:styleId="42">
    <w:name w:val="Заголовок 4 Знак"/>
    <w:basedOn w:val="a2"/>
    <w:link w:val="41"/>
    <w:uiPriority w:val="9"/>
    <w:rsid w:val="007D0A3D"/>
    <w:rPr>
      <w:rFonts w:ascii="Times New Roman" w:eastAsiaTheme="majorEastAsia" w:hAnsi="Times New Roman" w:cstheme="majorBidi"/>
      <w:bCs/>
      <w:i/>
      <w:iCs/>
      <w:lang w:val="en-CA"/>
    </w:rPr>
  </w:style>
  <w:style w:type="character" w:customStyle="1" w:styleId="52">
    <w:name w:val="Заголовок 5 Знак"/>
    <w:basedOn w:val="a2"/>
    <w:link w:val="51"/>
    <w:uiPriority w:val="9"/>
    <w:rsid w:val="00715594"/>
    <w:rPr>
      <w:rFonts w:ascii="Times New Roman" w:eastAsiaTheme="majorEastAsia" w:hAnsi="Times New Roman" w:cstheme="majorBidi"/>
      <w:i/>
      <w:u w:val="single"/>
      <w:lang w:val="en-CA"/>
    </w:rPr>
  </w:style>
  <w:style w:type="character" w:customStyle="1" w:styleId="60">
    <w:name w:val="Заголовок 6 Знак"/>
    <w:basedOn w:val="a2"/>
    <w:link w:val="6"/>
    <w:uiPriority w:val="9"/>
    <w:rsid w:val="00715594"/>
    <w:rPr>
      <w:rFonts w:ascii="Times New Roman" w:eastAsiaTheme="majorEastAsia" w:hAnsi="Times New Roman" w:cstheme="majorBidi"/>
      <w:iCs/>
      <w:lang w:val="en-CA"/>
    </w:rPr>
  </w:style>
  <w:style w:type="character" w:customStyle="1" w:styleId="70">
    <w:name w:val="Заголовок 7 Знак"/>
    <w:basedOn w:val="a2"/>
    <w:link w:val="7"/>
    <w:uiPriority w:val="9"/>
    <w:rsid w:val="00AD7C6C"/>
    <w:rPr>
      <w:rFonts w:ascii="Times New Roman" w:eastAsiaTheme="majorEastAsia" w:hAnsi="Times New Roman" w:cstheme="majorBidi"/>
      <w:iCs/>
    </w:rPr>
  </w:style>
  <w:style w:type="character" w:customStyle="1" w:styleId="80">
    <w:name w:val="Заголовок 8 Знак"/>
    <w:basedOn w:val="a2"/>
    <w:link w:val="8"/>
    <w:uiPriority w:val="9"/>
    <w:semiHidden/>
    <w:rsid w:val="00AD7C6C"/>
    <w:rPr>
      <w:rFonts w:ascii="Times New Roman" w:eastAsiaTheme="majorEastAsia" w:hAnsi="Times New Roman" w:cstheme="majorBidi"/>
    </w:rPr>
  </w:style>
  <w:style w:type="character" w:customStyle="1" w:styleId="90">
    <w:name w:val="Заголовок 9 Знак"/>
    <w:basedOn w:val="a2"/>
    <w:link w:val="9"/>
    <w:uiPriority w:val="9"/>
    <w:semiHidden/>
    <w:rsid w:val="00AD7C6C"/>
    <w:rPr>
      <w:rFonts w:ascii="Times New Roman" w:eastAsiaTheme="majorEastAsia" w:hAnsi="Times New Roman" w:cstheme="majorBidi"/>
      <w:iCs/>
      <w:szCs w:val="20"/>
      <w:lang w:val="en-GB"/>
    </w:rPr>
  </w:style>
  <w:style w:type="character" w:styleId="af8">
    <w:name w:val="Hyperlink"/>
    <w:basedOn w:val="a2"/>
    <w:unhideWhenUsed/>
    <w:rsid w:val="00715594"/>
    <w:rPr>
      <w:color w:val="0000FF" w:themeColor="hyperlink"/>
      <w:u w:val="single"/>
    </w:rPr>
  </w:style>
  <w:style w:type="character" w:styleId="af9">
    <w:name w:val="Intense Emphasis"/>
    <w:basedOn w:val="a2"/>
    <w:uiPriority w:val="21"/>
    <w:qFormat/>
    <w:rsid w:val="00715594"/>
    <w:rPr>
      <w:b/>
      <w:bCs/>
      <w:i/>
      <w:iCs/>
      <w:color w:val="4F81BD" w:themeColor="accent1"/>
    </w:rPr>
  </w:style>
  <w:style w:type="paragraph" w:styleId="afa">
    <w:name w:val="Intense Quote"/>
    <w:basedOn w:val="a1"/>
    <w:next w:val="a1"/>
    <w:link w:val="afb"/>
    <w:uiPriority w:val="30"/>
    <w:qFormat/>
    <w:rsid w:val="00715594"/>
    <w:pPr>
      <w:pBdr>
        <w:bottom w:val="single" w:sz="4" w:space="4" w:color="4F81BD" w:themeColor="accent1"/>
      </w:pBdr>
      <w:spacing w:before="200" w:after="280"/>
      <w:ind w:left="936" w:right="936"/>
    </w:pPr>
    <w:rPr>
      <w:rFonts w:eastAsiaTheme="minorHAnsi"/>
      <w:b/>
      <w:bCs/>
      <w:i/>
      <w:iCs/>
      <w:color w:val="4F81BD" w:themeColor="accent1"/>
      <w:lang w:val="en-CA"/>
    </w:rPr>
  </w:style>
  <w:style w:type="character" w:customStyle="1" w:styleId="afb">
    <w:name w:val="Выделенная цитата Знак"/>
    <w:basedOn w:val="a2"/>
    <w:link w:val="afa"/>
    <w:uiPriority w:val="30"/>
    <w:rsid w:val="00715594"/>
    <w:rPr>
      <w:rFonts w:ascii="Times New Roman" w:eastAsiaTheme="minorHAnsi" w:hAnsi="Times New Roman"/>
      <w:b/>
      <w:bCs/>
      <w:i/>
      <w:iCs/>
      <w:color w:val="4F81BD" w:themeColor="accent1"/>
      <w:lang w:val="en-CA"/>
    </w:rPr>
  </w:style>
  <w:style w:type="paragraph" w:styleId="a0">
    <w:name w:val="List Bullet"/>
    <w:basedOn w:val="a1"/>
    <w:autoRedefine/>
    <w:unhideWhenUsed/>
    <w:rsid w:val="00715594"/>
    <w:pPr>
      <w:numPr>
        <w:numId w:val="26"/>
      </w:numPr>
    </w:pPr>
    <w:rPr>
      <w:rFonts w:eastAsia="Times New Roman" w:cs="Times New Roman"/>
      <w:szCs w:val="24"/>
      <w:lang w:val="en-CA" w:eastAsia="en-CA"/>
    </w:rPr>
  </w:style>
  <w:style w:type="paragraph" w:styleId="20">
    <w:name w:val="List Bullet 2"/>
    <w:basedOn w:val="Bullet2"/>
    <w:uiPriority w:val="99"/>
    <w:rsid w:val="0045721F"/>
    <w:pPr>
      <w:numPr>
        <w:ilvl w:val="0"/>
        <w:numId w:val="13"/>
      </w:numPr>
    </w:pPr>
  </w:style>
  <w:style w:type="paragraph" w:styleId="32">
    <w:name w:val="List Bullet 3"/>
    <w:basedOn w:val="Bullet3"/>
    <w:uiPriority w:val="99"/>
    <w:rsid w:val="00833E5E"/>
  </w:style>
  <w:style w:type="paragraph" w:styleId="4">
    <w:name w:val="List Bullet 4"/>
    <w:basedOn w:val="a1"/>
    <w:uiPriority w:val="99"/>
    <w:rsid w:val="00AD7C6C"/>
    <w:pPr>
      <w:numPr>
        <w:ilvl w:val="3"/>
        <w:numId w:val="2"/>
      </w:numPr>
    </w:pPr>
  </w:style>
  <w:style w:type="paragraph" w:styleId="5">
    <w:name w:val="List Bullet 5"/>
    <w:basedOn w:val="a1"/>
    <w:uiPriority w:val="99"/>
    <w:rsid w:val="00AD7C6C"/>
    <w:pPr>
      <w:numPr>
        <w:ilvl w:val="4"/>
        <w:numId w:val="2"/>
      </w:numPr>
    </w:pPr>
  </w:style>
  <w:style w:type="paragraph" w:styleId="afc">
    <w:name w:val="List Continue"/>
    <w:basedOn w:val="a1"/>
    <w:uiPriority w:val="99"/>
    <w:rsid w:val="00AD7C6C"/>
  </w:style>
  <w:style w:type="paragraph" w:styleId="23">
    <w:name w:val="List Continue 2"/>
    <w:basedOn w:val="a1"/>
    <w:uiPriority w:val="99"/>
    <w:rsid w:val="00AD7C6C"/>
    <w:pPr>
      <w:ind w:left="720"/>
    </w:pPr>
  </w:style>
  <w:style w:type="paragraph" w:styleId="a">
    <w:name w:val="List Number"/>
    <w:basedOn w:val="a1"/>
    <w:uiPriority w:val="99"/>
    <w:rsid w:val="007555FF"/>
    <w:pPr>
      <w:numPr>
        <w:numId w:val="3"/>
      </w:numPr>
      <w:ind w:left="720"/>
    </w:pPr>
  </w:style>
  <w:style w:type="paragraph" w:styleId="2">
    <w:name w:val="List Number 2"/>
    <w:basedOn w:val="a1"/>
    <w:uiPriority w:val="99"/>
    <w:rsid w:val="007555FF"/>
    <w:pPr>
      <w:numPr>
        <w:ilvl w:val="1"/>
        <w:numId w:val="3"/>
      </w:numPr>
      <w:ind w:left="1080"/>
    </w:pPr>
  </w:style>
  <w:style w:type="paragraph" w:styleId="3">
    <w:name w:val="List Number 3"/>
    <w:basedOn w:val="a1"/>
    <w:uiPriority w:val="99"/>
    <w:rsid w:val="007555FF"/>
    <w:pPr>
      <w:numPr>
        <w:ilvl w:val="2"/>
        <w:numId w:val="3"/>
      </w:numPr>
      <w:ind w:left="1440"/>
    </w:pPr>
  </w:style>
  <w:style w:type="paragraph" w:styleId="40">
    <w:name w:val="List Number 4"/>
    <w:basedOn w:val="a1"/>
    <w:uiPriority w:val="99"/>
    <w:rsid w:val="007555FF"/>
    <w:pPr>
      <w:numPr>
        <w:ilvl w:val="3"/>
        <w:numId w:val="3"/>
      </w:numPr>
      <w:ind w:left="1800"/>
    </w:pPr>
  </w:style>
  <w:style w:type="paragraph" w:styleId="50">
    <w:name w:val="List Number 5"/>
    <w:basedOn w:val="a1"/>
    <w:uiPriority w:val="99"/>
    <w:rsid w:val="007555FF"/>
    <w:pPr>
      <w:numPr>
        <w:ilvl w:val="4"/>
        <w:numId w:val="3"/>
      </w:numPr>
      <w:ind w:left="2160"/>
    </w:pPr>
  </w:style>
  <w:style w:type="table" w:styleId="afd">
    <w:name w:val="Table Professional"/>
    <w:basedOn w:val="a3"/>
    <w:uiPriority w:val="99"/>
    <w:semiHidden/>
    <w:unhideWhenUsed/>
    <w:rsid w:val="00AD7C6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e">
    <w:name w:val="Strong"/>
    <w:basedOn w:val="a2"/>
    <w:qFormat/>
    <w:rsid w:val="00AD7C6C"/>
    <w:rPr>
      <w:b/>
      <w:bCs/>
    </w:rPr>
  </w:style>
  <w:style w:type="paragraph" w:styleId="aff">
    <w:name w:val="Subtitle"/>
    <w:basedOn w:val="a1"/>
    <w:next w:val="a1"/>
    <w:link w:val="aff0"/>
    <w:uiPriority w:val="11"/>
    <w:qFormat/>
    <w:rsid w:val="00715594"/>
    <w:pPr>
      <w:numPr>
        <w:ilvl w:val="1"/>
      </w:numPr>
    </w:pPr>
    <w:rPr>
      <w:rFonts w:asciiTheme="majorHAnsi" w:eastAsiaTheme="majorEastAsia" w:hAnsiTheme="majorHAnsi" w:cstheme="majorBidi"/>
      <w:i/>
      <w:iCs/>
      <w:color w:val="4F81BD" w:themeColor="accent1"/>
      <w:spacing w:val="15"/>
      <w:sz w:val="24"/>
      <w:szCs w:val="24"/>
      <w:lang w:val="en-CA"/>
    </w:rPr>
  </w:style>
  <w:style w:type="character" w:customStyle="1" w:styleId="aff0">
    <w:name w:val="Подзаголовок Знак"/>
    <w:basedOn w:val="a2"/>
    <w:link w:val="aff"/>
    <w:uiPriority w:val="11"/>
    <w:rsid w:val="00715594"/>
    <w:rPr>
      <w:rFonts w:asciiTheme="majorHAnsi" w:eastAsiaTheme="majorEastAsia" w:hAnsiTheme="majorHAnsi" w:cstheme="majorBidi"/>
      <w:i/>
      <w:iCs/>
      <w:color w:val="4F81BD" w:themeColor="accent1"/>
      <w:spacing w:val="15"/>
      <w:sz w:val="24"/>
      <w:szCs w:val="24"/>
      <w:lang w:val="en-CA"/>
    </w:rPr>
  </w:style>
  <w:style w:type="character" w:styleId="aff1">
    <w:name w:val="Subtle Reference"/>
    <w:basedOn w:val="a2"/>
    <w:uiPriority w:val="31"/>
    <w:qFormat/>
    <w:rsid w:val="00715594"/>
    <w:rPr>
      <w:smallCaps/>
      <w:color w:val="C0504D" w:themeColor="accent2"/>
      <w:u w:val="single"/>
    </w:rPr>
  </w:style>
  <w:style w:type="table" w:styleId="aff2">
    <w:name w:val="Table Grid"/>
    <w:basedOn w:val="a3"/>
    <w:uiPriority w:val="39"/>
    <w:rsid w:val="00715594"/>
    <w:pPr>
      <w:spacing w:after="0" w:line="240" w:lineRule="auto"/>
    </w:pPr>
    <w:rPr>
      <w:rFonts w:eastAsiaTheme="minorHAnsi"/>
      <w:lang w:val="en-C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1">
    <w:name w:val="toc 1"/>
    <w:basedOn w:val="a1"/>
    <w:next w:val="a1"/>
    <w:autoRedefine/>
    <w:uiPriority w:val="39"/>
    <w:unhideWhenUsed/>
    <w:qFormat/>
    <w:rsid w:val="00715594"/>
    <w:pPr>
      <w:tabs>
        <w:tab w:val="left" w:pos="440"/>
        <w:tab w:val="right" w:leader="dot" w:pos="9350"/>
      </w:tabs>
      <w:spacing w:after="40"/>
    </w:pPr>
    <w:rPr>
      <w:rFonts w:eastAsiaTheme="minorHAnsi"/>
      <w:lang w:val="en-CA"/>
    </w:rPr>
  </w:style>
  <w:style w:type="paragraph" w:styleId="24">
    <w:name w:val="toc 2"/>
    <w:basedOn w:val="a1"/>
    <w:next w:val="a1"/>
    <w:autoRedefine/>
    <w:uiPriority w:val="39"/>
    <w:unhideWhenUsed/>
    <w:qFormat/>
    <w:rsid w:val="00715594"/>
    <w:pPr>
      <w:spacing w:after="40"/>
      <w:ind w:left="221"/>
    </w:pPr>
    <w:rPr>
      <w:rFonts w:eastAsiaTheme="minorHAnsi"/>
      <w:lang w:val="en-CA"/>
    </w:rPr>
  </w:style>
  <w:style w:type="paragraph" w:styleId="33">
    <w:name w:val="toc 3"/>
    <w:basedOn w:val="a1"/>
    <w:next w:val="a1"/>
    <w:autoRedefine/>
    <w:uiPriority w:val="39"/>
    <w:unhideWhenUsed/>
    <w:qFormat/>
    <w:rsid w:val="00715594"/>
    <w:pPr>
      <w:spacing w:after="40"/>
      <w:ind w:left="442"/>
    </w:pPr>
  </w:style>
  <w:style w:type="paragraph" w:styleId="aff3">
    <w:name w:val="TOC Heading"/>
    <w:basedOn w:val="1"/>
    <w:next w:val="a1"/>
    <w:uiPriority w:val="39"/>
    <w:unhideWhenUsed/>
    <w:qFormat/>
    <w:rsid w:val="00715594"/>
    <w:pPr>
      <w:spacing w:before="480" w:after="0" w:line="360" w:lineRule="auto"/>
      <w:outlineLvl w:val="9"/>
    </w:pPr>
    <w:rPr>
      <w:lang w:val="en-US"/>
    </w:rPr>
  </w:style>
  <w:style w:type="paragraph" w:customStyle="1" w:styleId="NumberText">
    <w:name w:val="Number Text"/>
    <w:basedOn w:val="a1"/>
    <w:uiPriority w:val="10"/>
    <w:qFormat/>
    <w:rsid w:val="00713867"/>
    <w:pPr>
      <w:spacing w:before="80" w:after="80"/>
      <w:ind w:hanging="360"/>
    </w:pPr>
    <w:rPr>
      <w:sz w:val="19"/>
    </w:rPr>
  </w:style>
  <w:style w:type="paragraph" w:customStyle="1" w:styleId="Bullet1">
    <w:name w:val="Bullet1"/>
    <w:link w:val="Bullet1Char"/>
    <w:qFormat/>
    <w:rsid w:val="00463A19"/>
    <w:pPr>
      <w:numPr>
        <w:numId w:val="4"/>
      </w:numPr>
      <w:spacing w:before="60" w:after="60" w:line="264" w:lineRule="auto"/>
    </w:pPr>
    <w:rPr>
      <w:rFonts w:ascii="Arial" w:eastAsia="Arial" w:hAnsi="Arial" w:cs="Arial"/>
      <w:color w:val="000000"/>
      <w:spacing w:val="2"/>
      <w:lang w:eastAsia="en-GB"/>
    </w:rPr>
  </w:style>
  <w:style w:type="character" w:customStyle="1" w:styleId="Bullet1Char">
    <w:name w:val="Bullet1 Char"/>
    <w:basedOn w:val="a2"/>
    <w:link w:val="Bullet1"/>
    <w:rsid w:val="00463A19"/>
    <w:rPr>
      <w:rFonts w:ascii="Arial" w:eastAsia="Arial" w:hAnsi="Arial" w:cs="Arial"/>
      <w:color w:val="000000"/>
      <w:spacing w:val="2"/>
      <w:lang w:eastAsia="en-GB"/>
    </w:rPr>
  </w:style>
  <w:style w:type="paragraph" w:customStyle="1" w:styleId="Bullet2">
    <w:name w:val="Bullet2"/>
    <w:basedOn w:val="Bullet1"/>
    <w:link w:val="Bullet2Char"/>
    <w:qFormat/>
    <w:rsid w:val="00051391"/>
    <w:pPr>
      <w:numPr>
        <w:ilvl w:val="1"/>
      </w:numPr>
    </w:pPr>
  </w:style>
  <w:style w:type="character" w:customStyle="1" w:styleId="Bullet2Char">
    <w:name w:val="Bullet2 Char"/>
    <w:basedOn w:val="a2"/>
    <w:link w:val="Bullet2"/>
    <w:rsid w:val="00051391"/>
    <w:rPr>
      <w:rFonts w:ascii="Arial" w:eastAsia="Arial" w:hAnsi="Arial" w:cs="Arial"/>
      <w:color w:val="000000"/>
      <w:spacing w:val="2"/>
      <w:lang w:eastAsia="en-GB"/>
    </w:rPr>
  </w:style>
  <w:style w:type="paragraph" w:customStyle="1" w:styleId="Bullet3">
    <w:name w:val="Bullet3"/>
    <w:basedOn w:val="Bullet2"/>
    <w:link w:val="Bullet3Char"/>
    <w:qFormat/>
    <w:rsid w:val="005C7079"/>
    <w:pPr>
      <w:numPr>
        <w:ilvl w:val="0"/>
        <w:numId w:val="10"/>
      </w:numPr>
      <w:spacing w:before="0"/>
    </w:pPr>
  </w:style>
  <w:style w:type="character" w:customStyle="1" w:styleId="Bullet3Char">
    <w:name w:val="Bullet3 Char"/>
    <w:basedOn w:val="a2"/>
    <w:link w:val="Bullet3"/>
    <w:rsid w:val="005C7079"/>
    <w:rPr>
      <w:rFonts w:ascii="Arial" w:eastAsia="Arial" w:hAnsi="Arial" w:cs="Arial"/>
      <w:color w:val="000000"/>
      <w:spacing w:val="2"/>
      <w:lang w:eastAsia="en-GB"/>
    </w:rPr>
  </w:style>
  <w:style w:type="character" w:customStyle="1" w:styleId="headertext1">
    <w:name w:val="headertext1"/>
    <w:basedOn w:val="a2"/>
    <w:rsid w:val="00051391"/>
    <w:rPr>
      <w:rFonts w:ascii="Arial" w:hAnsi="Arial" w:cs="Arial" w:hint="default"/>
      <w:b w:val="0"/>
      <w:bCs w:val="0"/>
      <w:i w:val="0"/>
      <w:iCs w:val="0"/>
      <w:sz w:val="16"/>
      <w:szCs w:val="16"/>
    </w:rPr>
  </w:style>
  <w:style w:type="paragraph" w:customStyle="1" w:styleId="Mainheading">
    <w:name w:val="Mainheading"/>
    <w:link w:val="MainheadingChar"/>
    <w:qFormat/>
    <w:rsid w:val="00051391"/>
    <w:pPr>
      <w:spacing w:after="480" w:line="240" w:lineRule="auto"/>
    </w:pPr>
    <w:rPr>
      <w:rFonts w:ascii="Arial" w:eastAsia="Times New Roman" w:hAnsi="Arial" w:cs="Arial"/>
      <w:b/>
      <w:color w:val="808080"/>
      <w:spacing w:val="4"/>
      <w:sz w:val="36"/>
      <w:szCs w:val="20"/>
      <w:lang w:val="en-GB"/>
    </w:rPr>
  </w:style>
  <w:style w:type="character" w:customStyle="1" w:styleId="MainheadingChar">
    <w:name w:val="Mainheading Char"/>
    <w:basedOn w:val="a2"/>
    <w:link w:val="Mainheading"/>
    <w:rsid w:val="00051391"/>
    <w:rPr>
      <w:rFonts w:ascii="Arial" w:eastAsia="Times New Roman" w:hAnsi="Arial" w:cs="Arial"/>
      <w:b/>
      <w:color w:val="808080"/>
      <w:spacing w:val="4"/>
      <w:sz w:val="36"/>
      <w:szCs w:val="20"/>
      <w:lang w:val="en-GB"/>
    </w:rPr>
  </w:style>
  <w:style w:type="paragraph" w:styleId="aff4">
    <w:name w:val="No Spacing"/>
    <w:link w:val="aff5"/>
    <w:uiPriority w:val="1"/>
    <w:qFormat/>
    <w:rsid w:val="00051391"/>
    <w:pPr>
      <w:spacing w:after="0" w:line="240" w:lineRule="auto"/>
    </w:pPr>
  </w:style>
  <w:style w:type="character" w:customStyle="1" w:styleId="aff5">
    <w:name w:val="Без интервала Знак"/>
    <w:basedOn w:val="a2"/>
    <w:link w:val="aff4"/>
    <w:uiPriority w:val="1"/>
    <w:rsid w:val="00051391"/>
    <w:rPr>
      <w:rFonts w:eastAsiaTheme="minorEastAsia"/>
    </w:rPr>
  </w:style>
  <w:style w:type="character" w:styleId="aff6">
    <w:name w:val="Subtle Emphasis"/>
    <w:basedOn w:val="a2"/>
    <w:uiPriority w:val="19"/>
    <w:qFormat/>
    <w:rsid w:val="00051391"/>
    <w:rPr>
      <w:i/>
      <w:iCs/>
      <w:color w:val="808080"/>
    </w:rPr>
  </w:style>
  <w:style w:type="paragraph" w:customStyle="1" w:styleId="TableBody">
    <w:name w:val="TableBody"/>
    <w:link w:val="TableBodyChar"/>
    <w:qFormat/>
    <w:rsid w:val="00051391"/>
    <w:pPr>
      <w:spacing w:before="60" w:after="60" w:line="264" w:lineRule="auto"/>
    </w:pPr>
    <w:rPr>
      <w:rFonts w:ascii="Arial" w:eastAsia="Times New Roman" w:hAnsi="Arial" w:cs="Arial"/>
      <w:color w:val="000000"/>
      <w:spacing w:val="2"/>
      <w:sz w:val="16"/>
      <w:szCs w:val="18"/>
      <w:lang w:val="en-GB"/>
    </w:rPr>
  </w:style>
  <w:style w:type="character" w:customStyle="1" w:styleId="TableBodyChar">
    <w:name w:val="TableBody Char"/>
    <w:basedOn w:val="a2"/>
    <w:link w:val="TableBody"/>
    <w:rsid w:val="00051391"/>
    <w:rPr>
      <w:rFonts w:ascii="Arial" w:eastAsia="Times New Roman" w:hAnsi="Arial" w:cs="Arial"/>
      <w:color w:val="000000"/>
      <w:spacing w:val="2"/>
      <w:sz w:val="16"/>
      <w:szCs w:val="18"/>
      <w:lang w:val="en-GB"/>
    </w:rPr>
  </w:style>
  <w:style w:type="paragraph" w:customStyle="1" w:styleId="TableBullet1">
    <w:name w:val="TableBullet1"/>
    <w:link w:val="TableBullet1Char"/>
    <w:qFormat/>
    <w:rsid w:val="00463A19"/>
    <w:pPr>
      <w:numPr>
        <w:numId w:val="5"/>
      </w:numPr>
      <w:spacing w:after="120" w:line="240" w:lineRule="auto"/>
      <w:ind w:left="274" w:hanging="274"/>
    </w:pPr>
    <w:rPr>
      <w:rFonts w:ascii="Arial" w:eastAsia="Arial" w:hAnsi="Arial" w:cs="Arial"/>
      <w:color w:val="000000"/>
      <w:spacing w:val="2"/>
      <w:sz w:val="16"/>
      <w:szCs w:val="16"/>
      <w:lang w:eastAsia="en-GB"/>
    </w:rPr>
  </w:style>
  <w:style w:type="character" w:customStyle="1" w:styleId="TableBullet1Char">
    <w:name w:val="TableBullet1 Char"/>
    <w:basedOn w:val="Bullet1Char"/>
    <w:link w:val="TableBullet1"/>
    <w:rsid w:val="00463A19"/>
    <w:rPr>
      <w:rFonts w:ascii="Arial" w:eastAsia="Arial" w:hAnsi="Arial" w:cs="Arial"/>
      <w:color w:val="000000"/>
      <w:spacing w:val="2"/>
      <w:sz w:val="16"/>
      <w:szCs w:val="16"/>
      <w:lang w:eastAsia="en-GB"/>
    </w:rPr>
  </w:style>
  <w:style w:type="paragraph" w:customStyle="1" w:styleId="TableBullet2">
    <w:name w:val="TableBullet2"/>
    <w:basedOn w:val="TableBullet1"/>
    <w:link w:val="TableBullet2Char"/>
    <w:qFormat/>
    <w:rsid w:val="00463A19"/>
    <w:pPr>
      <w:numPr>
        <w:numId w:val="11"/>
      </w:numPr>
      <w:spacing w:before="60" w:after="60"/>
      <w:ind w:left="548" w:hanging="274"/>
    </w:pPr>
  </w:style>
  <w:style w:type="paragraph" w:customStyle="1" w:styleId="TableHeading">
    <w:name w:val="TableHeading"/>
    <w:link w:val="TableHeadingChar"/>
    <w:qFormat/>
    <w:rsid w:val="00051391"/>
    <w:pPr>
      <w:spacing w:before="60" w:after="60" w:line="240" w:lineRule="auto"/>
      <w:jc w:val="right"/>
    </w:pPr>
    <w:rPr>
      <w:rFonts w:ascii="Arial" w:eastAsia="Times New Roman" w:hAnsi="Arial" w:cs="Arial"/>
      <w:b/>
      <w:color w:val="FFFFFF"/>
      <w:sz w:val="16"/>
      <w:szCs w:val="18"/>
      <w:lang w:val="en-GB"/>
    </w:rPr>
  </w:style>
  <w:style w:type="character" w:customStyle="1" w:styleId="TableHeadingChar">
    <w:name w:val="TableHeading Char"/>
    <w:basedOn w:val="a2"/>
    <w:link w:val="TableHeading"/>
    <w:rsid w:val="00051391"/>
    <w:rPr>
      <w:rFonts w:ascii="Arial" w:eastAsia="Times New Roman" w:hAnsi="Arial" w:cs="Arial"/>
      <w:b/>
      <w:color w:val="FFFFFF"/>
      <w:sz w:val="16"/>
      <w:szCs w:val="18"/>
      <w:lang w:val="en-GB"/>
    </w:rPr>
  </w:style>
  <w:style w:type="paragraph" w:customStyle="1" w:styleId="OversightHeading1">
    <w:name w:val="OversightHeading1"/>
    <w:basedOn w:val="a1"/>
    <w:qFormat/>
    <w:rsid w:val="00E35C67"/>
    <w:pPr>
      <w:spacing w:before="480"/>
      <w:ind w:left="547"/>
    </w:pPr>
    <w:rPr>
      <w:b/>
      <w:color w:val="548DD4"/>
      <w:sz w:val="26"/>
      <w:szCs w:val="26"/>
    </w:rPr>
  </w:style>
  <w:style w:type="character" w:customStyle="1" w:styleId="WebHide">
    <w:name w:val="WebHide"/>
    <w:uiPriority w:val="1"/>
    <w:qFormat/>
    <w:rsid w:val="005E1E9D"/>
    <w:rPr>
      <w:rFonts w:cs="Arial"/>
      <w:vanish w:val="0"/>
      <w:color w:val="auto"/>
      <w:spacing w:val="2"/>
      <w:lang w:val="en-GB"/>
    </w:rPr>
  </w:style>
  <w:style w:type="character" w:customStyle="1" w:styleId="Term">
    <w:name w:val="Term"/>
    <w:uiPriority w:val="1"/>
    <w:qFormat/>
    <w:rsid w:val="00FE421B"/>
    <w:rPr>
      <w:b/>
      <w:i w:val="0"/>
    </w:rPr>
  </w:style>
  <w:style w:type="paragraph" w:customStyle="1" w:styleId="TableBullet3">
    <w:name w:val="TableBullet3"/>
    <w:basedOn w:val="TableBullet1"/>
    <w:link w:val="TableBullet3Char"/>
    <w:qFormat/>
    <w:rsid w:val="00463A19"/>
    <w:pPr>
      <w:numPr>
        <w:numId w:val="12"/>
      </w:numPr>
      <w:tabs>
        <w:tab w:val="left" w:pos="360"/>
        <w:tab w:val="right" w:leader="dot" w:pos="8846"/>
      </w:tabs>
      <w:spacing w:before="60" w:after="60"/>
      <w:ind w:left="821" w:hanging="274"/>
    </w:pPr>
    <w:rPr>
      <w:lang w:val="en-GB"/>
    </w:rPr>
  </w:style>
  <w:style w:type="paragraph" w:customStyle="1" w:styleId="TableNumber1">
    <w:name w:val="TableNumber1"/>
    <w:basedOn w:val="TableBullet1"/>
    <w:qFormat/>
    <w:rsid w:val="00B5178C"/>
    <w:pPr>
      <w:numPr>
        <w:numId w:val="6"/>
      </w:numPr>
      <w:ind w:left="274" w:hanging="274"/>
    </w:pPr>
  </w:style>
  <w:style w:type="character" w:customStyle="1" w:styleId="TableBullet3Char">
    <w:name w:val="TableBullet3 Char"/>
    <w:basedOn w:val="TableBullet1Char"/>
    <w:link w:val="TableBullet3"/>
    <w:rsid w:val="00463A19"/>
    <w:rPr>
      <w:rFonts w:ascii="Arial" w:eastAsia="Arial" w:hAnsi="Arial" w:cs="Arial"/>
      <w:color w:val="000000"/>
      <w:spacing w:val="2"/>
      <w:sz w:val="16"/>
      <w:szCs w:val="16"/>
      <w:lang w:val="en-GB" w:eastAsia="en-GB"/>
    </w:rPr>
  </w:style>
  <w:style w:type="paragraph" w:customStyle="1" w:styleId="TableNumber2">
    <w:name w:val="TableNumber2"/>
    <w:basedOn w:val="TableBullet2"/>
    <w:qFormat/>
    <w:rsid w:val="00B5178C"/>
    <w:pPr>
      <w:numPr>
        <w:numId w:val="7"/>
      </w:numPr>
      <w:ind w:left="548" w:hanging="274"/>
    </w:pPr>
  </w:style>
  <w:style w:type="paragraph" w:customStyle="1" w:styleId="TableNumber3">
    <w:name w:val="TableNumber3"/>
    <w:basedOn w:val="TableBullet3"/>
    <w:link w:val="TableNumber3Char"/>
    <w:qFormat/>
    <w:rsid w:val="00B5178C"/>
    <w:pPr>
      <w:numPr>
        <w:numId w:val="8"/>
      </w:numPr>
      <w:ind w:left="821" w:hanging="274"/>
    </w:pPr>
  </w:style>
  <w:style w:type="character" w:customStyle="1" w:styleId="TableNumber3Char">
    <w:name w:val="TableNumber3 Char"/>
    <w:basedOn w:val="TableBullet3Char"/>
    <w:link w:val="TableNumber3"/>
    <w:rsid w:val="00B5178C"/>
    <w:rPr>
      <w:rFonts w:ascii="Arial" w:eastAsia="Arial" w:hAnsi="Arial" w:cs="Arial"/>
      <w:color w:val="000000"/>
      <w:spacing w:val="2"/>
      <w:sz w:val="16"/>
      <w:szCs w:val="16"/>
      <w:lang w:val="en-GB" w:eastAsia="en-GB"/>
    </w:rPr>
  </w:style>
  <w:style w:type="character" w:customStyle="1" w:styleId="TableBullet2Char">
    <w:name w:val="TableBullet2 Char"/>
    <w:basedOn w:val="TableBullet1Char"/>
    <w:link w:val="TableBullet2"/>
    <w:rsid w:val="00463A19"/>
    <w:rPr>
      <w:rFonts w:ascii="Arial" w:eastAsia="Arial" w:hAnsi="Arial" w:cs="Arial"/>
      <w:color w:val="000000"/>
      <w:spacing w:val="2"/>
      <w:sz w:val="16"/>
      <w:szCs w:val="16"/>
      <w:lang w:eastAsia="en-GB"/>
    </w:rPr>
  </w:style>
  <w:style w:type="character" w:styleId="aff7">
    <w:name w:val="FollowedHyperlink"/>
    <w:basedOn w:val="a2"/>
    <w:uiPriority w:val="99"/>
    <w:semiHidden/>
    <w:unhideWhenUsed/>
    <w:rsid w:val="00715594"/>
    <w:rPr>
      <w:color w:val="800080" w:themeColor="followedHyperlink"/>
      <w:u w:val="single"/>
    </w:rPr>
  </w:style>
  <w:style w:type="paragraph" w:styleId="aff8">
    <w:name w:val="annotation text"/>
    <w:basedOn w:val="a1"/>
    <w:link w:val="aff9"/>
    <w:semiHidden/>
    <w:rsid w:val="009D4FC8"/>
    <w:rPr>
      <w:sz w:val="20"/>
    </w:rPr>
  </w:style>
  <w:style w:type="character" w:customStyle="1" w:styleId="aff9">
    <w:name w:val="Текст примечания Знак"/>
    <w:link w:val="aff8"/>
    <w:semiHidden/>
    <w:rsid w:val="009D4FC8"/>
    <w:rPr>
      <w:rFonts w:ascii="Times New Roman" w:eastAsia="Times New Roman" w:hAnsi="Times New Roman" w:cs="Times New Roman"/>
      <w:sz w:val="20"/>
      <w:szCs w:val="20"/>
      <w:lang w:val="en-GB"/>
    </w:rPr>
  </w:style>
  <w:style w:type="paragraph" w:styleId="affa">
    <w:name w:val="annotation subject"/>
    <w:basedOn w:val="aff8"/>
    <w:next w:val="aff8"/>
    <w:link w:val="affb"/>
    <w:rsid w:val="0085291C"/>
    <w:rPr>
      <w:b/>
      <w:bCs/>
    </w:rPr>
  </w:style>
  <w:style w:type="character" w:customStyle="1" w:styleId="affb">
    <w:name w:val="Тема примечания Знак"/>
    <w:link w:val="affa"/>
    <w:rsid w:val="0085291C"/>
    <w:rPr>
      <w:rFonts w:ascii="Times New Roman" w:hAnsi="Times New Roman"/>
      <w:b/>
      <w:bCs/>
      <w:sz w:val="20"/>
    </w:rPr>
  </w:style>
  <w:style w:type="paragraph" w:customStyle="1" w:styleId="MemoHeaderStyle">
    <w:name w:val="MemoHeaderStyle"/>
    <w:basedOn w:val="a1"/>
    <w:next w:val="a1"/>
    <w:rsid w:val="009D4FC8"/>
    <w:pPr>
      <w:spacing w:line="120" w:lineRule="atLeast"/>
      <w:ind w:left="1418"/>
      <w:jc w:val="both"/>
    </w:pPr>
    <w:rPr>
      <w:rFonts w:ascii="Arial" w:hAnsi="Arial"/>
      <w:b/>
      <w:smallCaps/>
    </w:rPr>
  </w:style>
  <w:style w:type="paragraph" w:customStyle="1" w:styleId="EMEAEnBodyText">
    <w:name w:val="EMEA En Body Text"/>
    <w:basedOn w:val="a1"/>
    <w:rsid w:val="009D4FC8"/>
    <w:pPr>
      <w:spacing w:before="120" w:after="120"/>
      <w:jc w:val="both"/>
    </w:pPr>
  </w:style>
  <w:style w:type="character" w:customStyle="1" w:styleId="BodytextAgencyChar">
    <w:name w:val="Body text (Agency) Char"/>
    <w:link w:val="BodytextAgency"/>
    <w:locked/>
    <w:rsid w:val="0085291C"/>
    <w:rPr>
      <w:rFonts w:ascii="Verdana" w:eastAsia="Verdana" w:hAnsi="Verdana" w:cs="Verdana"/>
      <w:sz w:val="18"/>
      <w:szCs w:val="18"/>
      <w:lang w:eastAsia="en-GB"/>
    </w:rPr>
  </w:style>
  <w:style w:type="paragraph" w:customStyle="1" w:styleId="BodytextAgency">
    <w:name w:val="Body text (Agency)"/>
    <w:basedOn w:val="a1"/>
    <w:link w:val="BodytextAgencyChar"/>
    <w:rsid w:val="0085291C"/>
    <w:pPr>
      <w:spacing w:after="140" w:line="280" w:lineRule="atLeast"/>
    </w:pPr>
    <w:rPr>
      <w:rFonts w:ascii="Verdana" w:eastAsia="Verdana" w:hAnsi="Verdana" w:cs="Verdana"/>
      <w:sz w:val="18"/>
      <w:szCs w:val="18"/>
      <w:lang w:eastAsia="en-GB"/>
    </w:rPr>
  </w:style>
  <w:style w:type="character" w:customStyle="1" w:styleId="DraftingNotesAgencyChar">
    <w:name w:val="Drafting Notes (Agency) Char"/>
    <w:link w:val="DraftingNotesAgency"/>
    <w:locked/>
    <w:rsid w:val="0085291C"/>
    <w:rPr>
      <w:rFonts w:ascii="Courier New" w:eastAsia="Verdana" w:hAnsi="Courier New"/>
      <w:i/>
      <w:color w:val="339966"/>
      <w:szCs w:val="18"/>
      <w:lang w:eastAsia="en-GB"/>
    </w:rPr>
  </w:style>
  <w:style w:type="paragraph" w:customStyle="1" w:styleId="DraftingNotesAgency">
    <w:name w:val="Drafting Notes (Agency)"/>
    <w:basedOn w:val="a1"/>
    <w:next w:val="BodytextAgency"/>
    <w:link w:val="DraftingNotesAgencyChar"/>
    <w:rsid w:val="0085291C"/>
    <w:pPr>
      <w:spacing w:after="140" w:line="280" w:lineRule="atLeast"/>
    </w:pPr>
    <w:rPr>
      <w:rFonts w:ascii="Courier New" w:eastAsia="Verdana" w:hAnsi="Courier New"/>
      <w:i/>
      <w:color w:val="339966"/>
      <w:szCs w:val="18"/>
      <w:lang w:eastAsia="en-GB"/>
    </w:rPr>
  </w:style>
  <w:style w:type="character" w:customStyle="1" w:styleId="NormalAgencyChar">
    <w:name w:val="Normal (Agency) Char"/>
    <w:link w:val="NormalAgency"/>
    <w:locked/>
    <w:rsid w:val="009D4FC8"/>
    <w:rPr>
      <w:rFonts w:ascii="Verdana" w:eastAsia="Verdana" w:hAnsi="Verdana" w:cs="Verdana"/>
      <w:sz w:val="18"/>
      <w:szCs w:val="18"/>
      <w:lang w:val="en-GB" w:eastAsia="en-GB"/>
    </w:rPr>
  </w:style>
  <w:style w:type="paragraph" w:customStyle="1" w:styleId="NormalAgency">
    <w:name w:val="Normal (Agency)"/>
    <w:link w:val="NormalAgencyChar"/>
    <w:rsid w:val="009D4FC8"/>
    <w:pPr>
      <w:spacing w:after="0" w:line="240" w:lineRule="auto"/>
    </w:pPr>
    <w:rPr>
      <w:rFonts w:ascii="Verdana" w:eastAsia="Verdana" w:hAnsi="Verdana" w:cs="Verdana"/>
      <w:sz w:val="18"/>
      <w:szCs w:val="18"/>
      <w:lang w:val="en-GB" w:eastAsia="en-GB"/>
    </w:rPr>
  </w:style>
  <w:style w:type="paragraph" w:customStyle="1" w:styleId="TableheadingrowsAgency">
    <w:name w:val="Table heading rows (Agency)"/>
    <w:basedOn w:val="BodytextAgency"/>
    <w:rsid w:val="009D4FC8"/>
    <w:pPr>
      <w:keepNext/>
    </w:pPr>
    <w:rPr>
      <w:rFonts w:eastAsia="Times New Roman"/>
      <w:b/>
    </w:rPr>
  </w:style>
  <w:style w:type="paragraph" w:customStyle="1" w:styleId="TabletextrowsAgency">
    <w:name w:val="Table text rows (Agency)"/>
    <w:basedOn w:val="a1"/>
    <w:rsid w:val="009D4FC8"/>
    <w:pPr>
      <w:spacing w:line="280" w:lineRule="exact"/>
    </w:pPr>
    <w:rPr>
      <w:rFonts w:ascii="Verdana" w:hAnsi="Verdana" w:cs="Verdana"/>
      <w:sz w:val="18"/>
      <w:szCs w:val="18"/>
      <w:lang w:eastAsia="zh-CN"/>
    </w:rPr>
  </w:style>
  <w:style w:type="character" w:styleId="affc">
    <w:name w:val="annotation reference"/>
    <w:rsid w:val="009D4FC8"/>
    <w:rPr>
      <w:sz w:val="16"/>
      <w:szCs w:val="16"/>
    </w:rPr>
  </w:style>
  <w:style w:type="table" w:customStyle="1" w:styleId="TablegridAgencyblack">
    <w:name w:val="Table grid (Agency) black"/>
    <w:basedOn w:val="a3"/>
    <w:semiHidden/>
    <w:rsid w:val="009D4FC8"/>
    <w:pPr>
      <w:spacing w:after="0" w:line="240" w:lineRule="auto"/>
    </w:pPr>
    <w:rPr>
      <w:rFonts w:ascii="Verdana" w:eastAsia="SimSun" w:hAnsi="Verdana" w:cs="Times New Roman"/>
      <w:sz w:val="18"/>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Lucida Sans Unicode" w:hAnsi="Lucida Sans Unicode"/>
        <w:b/>
        <w:i w:val="0"/>
        <w:color w:val="auto"/>
        <w:sz w:val="18"/>
        <w:szCs w:val="18"/>
      </w:rPr>
      <w:tblPr/>
      <w:trPr>
        <w:tblHeader/>
      </w:trPr>
      <w:tcPr>
        <w:tcBorders>
          <w:top w:val="single" w:sz="4" w:space="0" w:color="auto"/>
          <w:left w:val="single" w:sz="4" w:space="0" w:color="auto"/>
          <w:bottom w:val="single" w:sz="4" w:space="0" w:color="auto"/>
          <w:right w:val="single" w:sz="4" w:space="0" w:color="auto"/>
          <w:insideH w:val="single" w:sz="6" w:space="0" w:color="auto"/>
          <w:insideV w:val="single" w:sz="6" w:space="0" w:color="auto"/>
          <w:tl2br w:val="nil"/>
          <w:tr2bl w:val="nil"/>
        </w:tcBorders>
        <w:shd w:val="clear" w:color="auto" w:fill="auto"/>
      </w:tcPr>
    </w:tblStylePr>
  </w:style>
  <w:style w:type="character" w:styleId="affd">
    <w:name w:val="page number"/>
    <w:basedOn w:val="a2"/>
    <w:rsid w:val="009D4FC8"/>
  </w:style>
  <w:style w:type="character" w:customStyle="1" w:styleId="DefaultCharacterStyle">
    <w:name w:val="Default Character Style"/>
    <w:locked/>
    <w:rsid w:val="00715594"/>
    <w:rPr>
      <w:rFonts w:ascii="Times New Roman" w:hAnsi="Times New Roman"/>
    </w:rPr>
  </w:style>
  <w:style w:type="paragraph" w:customStyle="1" w:styleId="EMEA1">
    <w:name w:val="EMEA 1"/>
    <w:basedOn w:val="a1"/>
    <w:rsid w:val="00715594"/>
    <w:pPr>
      <w:tabs>
        <w:tab w:val="left" w:pos="567"/>
      </w:tabs>
      <w:jc w:val="center"/>
    </w:pPr>
    <w:rPr>
      <w:rFonts w:eastAsia="Times New Roman" w:cs="Times New Roman"/>
      <w:b/>
      <w:bCs/>
      <w:szCs w:val="20"/>
      <w:lang w:val="en-GB"/>
    </w:rPr>
  </w:style>
  <w:style w:type="paragraph" w:customStyle="1" w:styleId="Hidden">
    <w:name w:val="Hidden"/>
    <w:basedOn w:val="a1"/>
    <w:next w:val="a1"/>
    <w:link w:val="HiddenChar"/>
    <w:qFormat/>
    <w:rsid w:val="00715594"/>
    <w:rPr>
      <w:rFonts w:eastAsiaTheme="minorHAnsi"/>
      <w:vanish/>
      <w:lang w:val="en-CA"/>
    </w:rPr>
  </w:style>
  <w:style w:type="character" w:customStyle="1" w:styleId="HiddenChar">
    <w:name w:val="Hidden Char"/>
    <w:basedOn w:val="a2"/>
    <w:link w:val="Hidden"/>
    <w:rsid w:val="00715594"/>
    <w:rPr>
      <w:rFonts w:ascii="Times New Roman" w:eastAsiaTheme="minorHAnsi" w:hAnsi="Times New Roman"/>
      <w:vanish/>
      <w:lang w:val="en-CA"/>
    </w:rPr>
  </w:style>
  <w:style w:type="paragraph" w:customStyle="1" w:styleId="Heading1-Body">
    <w:name w:val="Heading 1 - Body"/>
    <w:basedOn w:val="a1"/>
    <w:rsid w:val="0085291C"/>
    <w:pPr>
      <w:keepNext/>
      <w:tabs>
        <w:tab w:val="num" w:pos="576"/>
      </w:tabs>
      <w:spacing w:before="220" w:after="220"/>
      <w:outlineLvl w:val="0"/>
    </w:pPr>
    <w:rPr>
      <w:rFonts w:ascii="Times New Roman Bold" w:eastAsia="Times New Roman" w:hAnsi="Times New Roman Bold" w:cs="Times New Roman"/>
      <w:b/>
      <w:caps/>
      <w:lang w:val="en-GB"/>
    </w:rPr>
  </w:style>
  <w:style w:type="paragraph" w:customStyle="1" w:styleId="Heading2-Body">
    <w:name w:val="Heading 2 - Body"/>
    <w:basedOn w:val="a1"/>
    <w:rsid w:val="0085291C"/>
    <w:pPr>
      <w:keepNext/>
      <w:tabs>
        <w:tab w:val="num" w:pos="576"/>
      </w:tabs>
      <w:spacing w:after="220"/>
      <w:outlineLvl w:val="1"/>
    </w:pPr>
    <w:rPr>
      <w:rFonts w:eastAsia="Times New Roman" w:cs="Times New Roman"/>
      <w:b/>
      <w:szCs w:val="24"/>
      <w:lang w:val="en-GB"/>
    </w:rPr>
  </w:style>
  <w:style w:type="numbering" w:styleId="1ai">
    <w:name w:val="Outline List 1"/>
    <w:basedOn w:val="a4"/>
    <w:uiPriority w:val="99"/>
    <w:semiHidden/>
    <w:unhideWhenUsed/>
    <w:rsid w:val="00715594"/>
    <w:pPr>
      <w:numPr>
        <w:numId w:val="24"/>
      </w:numPr>
    </w:pPr>
  </w:style>
  <w:style w:type="paragraph" w:customStyle="1" w:styleId="BibliographyHeading">
    <w:name w:val="Bibliography Heading"/>
    <w:basedOn w:val="1"/>
    <w:qFormat/>
    <w:locked/>
    <w:rsid w:val="0085291C"/>
  </w:style>
  <w:style w:type="paragraph" w:styleId="34">
    <w:name w:val="Body Text 3"/>
    <w:basedOn w:val="a1"/>
    <w:link w:val="35"/>
    <w:unhideWhenUsed/>
    <w:rsid w:val="0085291C"/>
    <w:pPr>
      <w:spacing w:after="120"/>
    </w:pPr>
    <w:rPr>
      <w:rFonts w:eastAsiaTheme="minorHAnsi"/>
      <w:sz w:val="16"/>
      <w:szCs w:val="16"/>
      <w:lang w:val="en-CA"/>
    </w:rPr>
  </w:style>
  <w:style w:type="character" w:customStyle="1" w:styleId="35">
    <w:name w:val="Основной текст 3 Знак"/>
    <w:basedOn w:val="a2"/>
    <w:link w:val="34"/>
    <w:rsid w:val="0085291C"/>
    <w:rPr>
      <w:rFonts w:ascii="Times New Roman" w:eastAsiaTheme="minorHAnsi" w:hAnsi="Times New Roman"/>
      <w:sz w:val="16"/>
      <w:szCs w:val="16"/>
      <w:lang w:val="en-CA"/>
    </w:rPr>
  </w:style>
  <w:style w:type="paragraph" w:customStyle="1" w:styleId="BodyTextCentre">
    <w:name w:val="Body Text Centre"/>
    <w:basedOn w:val="a6"/>
    <w:next w:val="a6"/>
    <w:rsid w:val="0085291C"/>
    <w:pPr>
      <w:jc w:val="center"/>
    </w:pPr>
    <w:rPr>
      <w:lang w:val="en-US" w:eastAsia="en-US"/>
    </w:rPr>
  </w:style>
  <w:style w:type="paragraph" w:customStyle="1" w:styleId="BodyTextSpaceAbove">
    <w:name w:val="Body Text Space Above"/>
    <w:basedOn w:val="a6"/>
    <w:rsid w:val="0085291C"/>
    <w:pPr>
      <w:spacing w:before="360"/>
    </w:pPr>
    <w:rPr>
      <w:lang w:val="en-GB" w:eastAsia="en-US"/>
    </w:rPr>
  </w:style>
  <w:style w:type="character" w:customStyle="1" w:styleId="BSPBox2">
    <w:name w:val="BSP_Box_2"/>
    <w:basedOn w:val="a2"/>
    <w:locked/>
    <w:rsid w:val="00715594"/>
    <w:rPr>
      <w:rFonts w:ascii="Times New Roman" w:hAnsi="Times New Roman" w:cs="Times New Roman" w:hint="default"/>
      <w:i/>
      <w:iCs w:val="0"/>
      <w:sz w:val="32"/>
      <w:bdr w:val="none" w:sz="0" w:space="0" w:color="auto" w:frame="1"/>
      <w:shd w:val="clear" w:color="auto" w:fill="00FF00"/>
    </w:rPr>
  </w:style>
  <w:style w:type="character" w:customStyle="1" w:styleId="BSPBox3">
    <w:name w:val="BSP_Box_3"/>
    <w:basedOn w:val="a2"/>
    <w:locked/>
    <w:rsid w:val="00715594"/>
    <w:rPr>
      <w:rFonts w:ascii="Times New Roman" w:hAnsi="Times New Roman" w:cs="Times New Roman" w:hint="default"/>
      <w:sz w:val="32"/>
      <w:bdr w:val="none" w:sz="0" w:space="0" w:color="auto" w:frame="1"/>
      <w:shd w:val="clear" w:color="auto" w:fill="CCFFFF"/>
    </w:rPr>
  </w:style>
  <w:style w:type="paragraph" w:customStyle="1" w:styleId="bullethead">
    <w:name w:val="bullet head"/>
    <w:basedOn w:val="a1"/>
    <w:rsid w:val="00715594"/>
    <w:pPr>
      <w:spacing w:before="240" w:line="240" w:lineRule="exact"/>
    </w:pPr>
    <w:rPr>
      <w:rFonts w:eastAsia="Times New Roman" w:cs="Times New Roman"/>
      <w:b/>
      <w:kern w:val="28"/>
      <w:szCs w:val="20"/>
      <w:lang w:val="en-GB"/>
    </w:rPr>
  </w:style>
  <w:style w:type="paragraph" w:customStyle="1" w:styleId="CaptionCentre">
    <w:name w:val="Caption Centre"/>
    <w:basedOn w:val="a6"/>
    <w:locked/>
    <w:rsid w:val="00715594"/>
    <w:pPr>
      <w:jc w:val="center"/>
    </w:pPr>
    <w:rPr>
      <w:b/>
      <w:lang w:val="en-US" w:eastAsia="en-US"/>
    </w:rPr>
  </w:style>
  <w:style w:type="table" w:customStyle="1" w:styleId="ColorfulGrid1">
    <w:name w:val="Colorful Grid1"/>
    <w:basedOn w:val="a3"/>
    <w:uiPriority w:val="73"/>
    <w:locked/>
    <w:rsid w:val="00715594"/>
    <w:pPr>
      <w:spacing w:after="0" w:line="240" w:lineRule="auto"/>
    </w:pPr>
    <w:rPr>
      <w:rFonts w:eastAsiaTheme="minorHAnsi"/>
      <w:color w:val="000000" w:themeColor="text1"/>
      <w:lang w:val="en-CA"/>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affe">
    <w:name w:val="Document Map"/>
    <w:basedOn w:val="a1"/>
    <w:link w:val="afff"/>
    <w:uiPriority w:val="99"/>
    <w:semiHidden/>
    <w:unhideWhenUsed/>
    <w:rsid w:val="00715594"/>
    <w:rPr>
      <w:rFonts w:ascii="Tahoma" w:eastAsiaTheme="minorHAnsi" w:hAnsi="Tahoma" w:cs="Tahoma"/>
      <w:sz w:val="16"/>
      <w:szCs w:val="16"/>
      <w:lang w:val="en-CA"/>
    </w:rPr>
  </w:style>
  <w:style w:type="character" w:customStyle="1" w:styleId="afff">
    <w:name w:val="Схема документа Знак"/>
    <w:basedOn w:val="a2"/>
    <w:link w:val="affe"/>
    <w:uiPriority w:val="99"/>
    <w:semiHidden/>
    <w:rsid w:val="00715594"/>
    <w:rPr>
      <w:rFonts w:ascii="Tahoma" w:eastAsiaTheme="minorHAnsi" w:hAnsi="Tahoma" w:cs="Tahoma"/>
      <w:sz w:val="16"/>
      <w:szCs w:val="16"/>
      <w:lang w:val="en-CA"/>
    </w:rPr>
  </w:style>
  <w:style w:type="character" w:customStyle="1" w:styleId="Document-Identity">
    <w:name w:val="Document-Identity"/>
    <w:basedOn w:val="a2"/>
    <w:locked/>
    <w:rsid w:val="00715594"/>
    <w:rPr>
      <w:rFonts w:ascii="Times New Roman" w:hAnsi="Times New Roman"/>
      <w:sz w:val="24"/>
    </w:rPr>
  </w:style>
  <w:style w:type="paragraph" w:customStyle="1" w:styleId="DosageFormWrapper">
    <w:name w:val="DosageForm Wrapper"/>
    <w:basedOn w:val="a1"/>
    <w:qFormat/>
    <w:locked/>
    <w:rsid w:val="0085291C"/>
    <w:pPr>
      <w:spacing w:after="120"/>
      <w:jc w:val="center"/>
    </w:pPr>
    <w:rPr>
      <w:rFonts w:eastAsiaTheme="minorHAnsi"/>
      <w:b/>
      <w:sz w:val="32"/>
      <w:lang w:val="en-CA"/>
    </w:rPr>
  </w:style>
  <w:style w:type="character" w:styleId="afff0">
    <w:name w:val="Emphasis"/>
    <w:basedOn w:val="a2"/>
    <w:uiPriority w:val="20"/>
    <w:qFormat/>
    <w:rsid w:val="00715594"/>
    <w:rPr>
      <w:i/>
      <w:iCs/>
      <w:vanish w:val="0"/>
    </w:rPr>
  </w:style>
  <w:style w:type="paragraph" w:customStyle="1" w:styleId="form">
    <w:name w:val="form"/>
    <w:basedOn w:val="a1"/>
    <w:qFormat/>
    <w:locked/>
    <w:rsid w:val="00715594"/>
    <w:pPr>
      <w:shd w:val="pct20" w:color="auto" w:fill="auto"/>
    </w:pPr>
    <w:rPr>
      <w:rFonts w:eastAsiaTheme="minorHAnsi"/>
      <w:lang w:val="en-CA"/>
    </w:rPr>
  </w:style>
  <w:style w:type="paragraph" w:customStyle="1" w:styleId="Fragment">
    <w:name w:val="Fragment"/>
    <w:next w:val="afff1"/>
    <w:link w:val="FragmentChar"/>
    <w:qFormat/>
    <w:locked/>
    <w:rsid w:val="00715594"/>
    <w:pPr>
      <w:shd w:val="clear" w:color="auto" w:fill="EAF1DD" w:themeFill="accent3" w:themeFillTint="33"/>
    </w:pPr>
    <w:rPr>
      <w:rFonts w:eastAsiaTheme="minorHAnsi"/>
      <w:color w:val="000000" w:themeColor="text1"/>
    </w:rPr>
  </w:style>
  <w:style w:type="character" w:customStyle="1" w:styleId="FragmentChar">
    <w:name w:val="Fragment Char"/>
    <w:basedOn w:val="a2"/>
    <w:link w:val="Fragment"/>
    <w:rsid w:val="00715594"/>
    <w:rPr>
      <w:rFonts w:eastAsiaTheme="minorHAnsi"/>
      <w:color w:val="000000" w:themeColor="text1"/>
      <w:shd w:val="clear" w:color="auto" w:fill="EAF1DD" w:themeFill="accent3" w:themeFillTint="33"/>
    </w:rPr>
  </w:style>
  <w:style w:type="paragraph" w:styleId="afff1">
    <w:name w:val="Plain Text"/>
    <w:basedOn w:val="a1"/>
    <w:link w:val="afff2"/>
    <w:uiPriority w:val="99"/>
    <w:semiHidden/>
    <w:unhideWhenUsed/>
    <w:rsid w:val="00715594"/>
    <w:rPr>
      <w:rFonts w:ascii="Consolas" w:eastAsiaTheme="minorHAnsi" w:hAnsi="Consolas"/>
      <w:sz w:val="21"/>
      <w:szCs w:val="21"/>
      <w:lang w:val="en-CA"/>
    </w:rPr>
  </w:style>
  <w:style w:type="character" w:customStyle="1" w:styleId="afff2">
    <w:name w:val="Текст Знак"/>
    <w:basedOn w:val="a2"/>
    <w:link w:val="afff1"/>
    <w:uiPriority w:val="99"/>
    <w:semiHidden/>
    <w:rsid w:val="00715594"/>
    <w:rPr>
      <w:rFonts w:ascii="Consolas" w:eastAsiaTheme="minorHAnsi" w:hAnsi="Consolas"/>
      <w:sz w:val="21"/>
      <w:szCs w:val="21"/>
      <w:lang w:val="en-CA"/>
    </w:rPr>
  </w:style>
  <w:style w:type="paragraph" w:customStyle="1" w:styleId="Heading3-Body">
    <w:name w:val="Heading 3 - Body"/>
    <w:basedOn w:val="a1"/>
    <w:rsid w:val="00715594"/>
    <w:pPr>
      <w:keepNext/>
      <w:spacing w:after="220"/>
      <w:outlineLvl w:val="2"/>
    </w:pPr>
    <w:rPr>
      <w:rFonts w:eastAsia="Times New Roman" w:cs="Times New Roman"/>
      <w:u w:val="single"/>
      <w:lang w:val="en-GB"/>
    </w:rPr>
  </w:style>
  <w:style w:type="paragraph" w:customStyle="1" w:styleId="Heading2-AnnexII">
    <w:name w:val="Heading2 - AnnexII"/>
    <w:basedOn w:val="21"/>
    <w:link w:val="Heading2-AnnexIIChar"/>
    <w:qFormat/>
    <w:locked/>
    <w:rsid w:val="0085291C"/>
    <w:pPr>
      <w:shd w:val="clear" w:color="auto" w:fill="C4BC96" w:themeFill="background2" w:themeFillShade="BF"/>
    </w:pPr>
  </w:style>
  <w:style w:type="character" w:customStyle="1" w:styleId="Heading2-AnnexIIChar">
    <w:name w:val="Heading2 - AnnexII Char"/>
    <w:basedOn w:val="22"/>
    <w:link w:val="Heading2-AnnexII"/>
    <w:rsid w:val="0085291C"/>
    <w:rPr>
      <w:rFonts w:ascii="Times New Roman" w:eastAsiaTheme="majorEastAsia" w:hAnsi="Times New Roman" w:cstheme="majorBidi"/>
      <w:b/>
      <w:bCs/>
      <w:szCs w:val="26"/>
      <w:shd w:val="clear" w:color="auto" w:fill="C4BC96" w:themeFill="background2" w:themeFillShade="BF"/>
      <w:lang w:val="en-CA"/>
    </w:rPr>
  </w:style>
  <w:style w:type="paragraph" w:customStyle="1" w:styleId="Heading2-Blister">
    <w:name w:val="Heading2 - Blister"/>
    <w:basedOn w:val="21"/>
    <w:link w:val="Heading2-BlisterChar"/>
    <w:qFormat/>
    <w:locked/>
    <w:rsid w:val="00715594"/>
    <w:pPr>
      <w:shd w:val="clear" w:color="auto" w:fill="B6DDE8" w:themeFill="accent5" w:themeFillTint="66"/>
    </w:pPr>
  </w:style>
  <w:style w:type="character" w:customStyle="1" w:styleId="Heading2-BlisterChar">
    <w:name w:val="Heading2 - Blister Char"/>
    <w:basedOn w:val="22"/>
    <w:link w:val="Heading2-Blister"/>
    <w:rsid w:val="00715594"/>
    <w:rPr>
      <w:rFonts w:ascii="Times New Roman" w:eastAsiaTheme="majorEastAsia" w:hAnsi="Times New Roman" w:cstheme="majorBidi"/>
      <w:b/>
      <w:bCs/>
      <w:szCs w:val="26"/>
      <w:shd w:val="clear" w:color="auto" w:fill="B6DDE8" w:themeFill="accent5" w:themeFillTint="66"/>
      <w:lang w:val="en-CA"/>
    </w:rPr>
  </w:style>
  <w:style w:type="paragraph" w:customStyle="1" w:styleId="Heading2-Immediate">
    <w:name w:val="Heading2 - Immediate"/>
    <w:basedOn w:val="21"/>
    <w:link w:val="Heading2-ImmediateChar"/>
    <w:qFormat/>
    <w:locked/>
    <w:rsid w:val="00715594"/>
    <w:pPr>
      <w:shd w:val="clear" w:color="auto" w:fill="D6E3BC" w:themeFill="accent3" w:themeFillTint="66"/>
    </w:pPr>
  </w:style>
  <w:style w:type="character" w:customStyle="1" w:styleId="Heading2-ImmediateChar">
    <w:name w:val="Heading2 - Immediate Char"/>
    <w:basedOn w:val="22"/>
    <w:link w:val="Heading2-Immediate"/>
    <w:rsid w:val="00715594"/>
    <w:rPr>
      <w:rFonts w:ascii="Times New Roman" w:eastAsiaTheme="majorEastAsia" w:hAnsi="Times New Roman" w:cstheme="majorBidi"/>
      <w:b/>
      <w:bCs/>
      <w:szCs w:val="26"/>
      <w:shd w:val="clear" w:color="auto" w:fill="D6E3BC" w:themeFill="accent3" w:themeFillTint="66"/>
      <w:lang w:val="en-CA"/>
    </w:rPr>
  </w:style>
  <w:style w:type="paragraph" w:customStyle="1" w:styleId="Heading2-Outer">
    <w:name w:val="Heading2 - Outer"/>
    <w:basedOn w:val="21"/>
    <w:link w:val="Heading2-OuterChar"/>
    <w:qFormat/>
    <w:locked/>
    <w:rsid w:val="00715594"/>
    <w:pPr>
      <w:shd w:val="clear" w:color="auto" w:fill="FFCCFF"/>
    </w:pPr>
  </w:style>
  <w:style w:type="character" w:customStyle="1" w:styleId="Heading2-OuterChar">
    <w:name w:val="Heading2 - Outer Char"/>
    <w:basedOn w:val="22"/>
    <w:link w:val="Heading2-Outer"/>
    <w:rsid w:val="00715594"/>
    <w:rPr>
      <w:rFonts w:ascii="Times New Roman" w:eastAsiaTheme="majorEastAsia" w:hAnsi="Times New Roman" w:cstheme="majorBidi"/>
      <w:b/>
      <w:bCs/>
      <w:szCs w:val="26"/>
      <w:shd w:val="clear" w:color="auto" w:fill="FFCCFF"/>
      <w:lang w:val="en-CA"/>
    </w:rPr>
  </w:style>
  <w:style w:type="paragraph" w:customStyle="1" w:styleId="Heading2-PIM">
    <w:name w:val="Heading2 - PIM"/>
    <w:basedOn w:val="21"/>
    <w:link w:val="Heading2-PIMChar"/>
    <w:qFormat/>
    <w:locked/>
    <w:rsid w:val="00715594"/>
    <w:pPr>
      <w:shd w:val="clear" w:color="auto" w:fill="FFFF99"/>
    </w:pPr>
  </w:style>
  <w:style w:type="character" w:customStyle="1" w:styleId="Heading2-PIMChar">
    <w:name w:val="Heading2 - PIM Char"/>
    <w:basedOn w:val="22"/>
    <w:link w:val="Heading2-PIM"/>
    <w:rsid w:val="00715594"/>
    <w:rPr>
      <w:rFonts w:ascii="Times New Roman" w:eastAsiaTheme="majorEastAsia" w:hAnsi="Times New Roman" w:cstheme="majorBidi"/>
      <w:b/>
      <w:bCs/>
      <w:szCs w:val="26"/>
      <w:shd w:val="clear" w:color="auto" w:fill="FFFF99"/>
      <w:lang w:val="en-CA"/>
    </w:rPr>
  </w:style>
  <w:style w:type="paragraph" w:customStyle="1" w:styleId="Heading2-PL">
    <w:name w:val="Heading2 - PL"/>
    <w:basedOn w:val="21"/>
    <w:link w:val="Heading2-PLChar"/>
    <w:qFormat/>
    <w:locked/>
    <w:rsid w:val="00715594"/>
    <w:pPr>
      <w:shd w:val="clear" w:color="auto" w:fill="8DB3E2" w:themeFill="text2" w:themeFillTint="66"/>
    </w:pPr>
  </w:style>
  <w:style w:type="character" w:customStyle="1" w:styleId="Heading2-PLChar">
    <w:name w:val="Heading2 - PL Char"/>
    <w:basedOn w:val="22"/>
    <w:link w:val="Heading2-PL"/>
    <w:rsid w:val="00715594"/>
    <w:rPr>
      <w:rFonts w:ascii="Times New Roman" w:eastAsiaTheme="majorEastAsia" w:hAnsi="Times New Roman" w:cstheme="majorBidi"/>
      <w:b/>
      <w:bCs/>
      <w:szCs w:val="26"/>
      <w:shd w:val="clear" w:color="auto" w:fill="8DB3E2" w:themeFill="text2" w:themeFillTint="66"/>
      <w:lang w:val="en-CA"/>
    </w:rPr>
  </w:style>
  <w:style w:type="paragraph" w:customStyle="1" w:styleId="Heading2-SPC">
    <w:name w:val="Heading2 - SPC"/>
    <w:basedOn w:val="21"/>
    <w:link w:val="Heading2-SPCChar"/>
    <w:qFormat/>
    <w:locked/>
    <w:rsid w:val="00715594"/>
    <w:pPr>
      <w:shd w:val="clear" w:color="auto" w:fill="FF9999"/>
    </w:pPr>
  </w:style>
  <w:style w:type="character" w:customStyle="1" w:styleId="Heading2-SPCChar">
    <w:name w:val="Heading2 - SPC Char"/>
    <w:basedOn w:val="22"/>
    <w:link w:val="Heading2-SPC"/>
    <w:rsid w:val="00715594"/>
    <w:rPr>
      <w:rFonts w:ascii="Times New Roman" w:eastAsiaTheme="majorEastAsia" w:hAnsi="Times New Roman" w:cstheme="majorBidi"/>
      <w:b/>
      <w:bCs/>
      <w:szCs w:val="26"/>
      <w:shd w:val="clear" w:color="auto" w:fill="FF9999"/>
      <w:lang w:val="en-CA"/>
    </w:rPr>
  </w:style>
  <w:style w:type="character" w:customStyle="1" w:styleId="HighlightKeywords">
    <w:name w:val="HighlightKeywords"/>
    <w:basedOn w:val="a2"/>
    <w:uiPriority w:val="1"/>
    <w:qFormat/>
    <w:locked/>
    <w:rsid w:val="00715594"/>
    <w:rPr>
      <w:bdr w:val="none" w:sz="0" w:space="0" w:color="auto"/>
      <w:shd w:val="clear" w:color="auto" w:fill="EAF1DD" w:themeFill="accent3" w:themeFillTint="33"/>
    </w:rPr>
  </w:style>
  <w:style w:type="character" w:customStyle="1" w:styleId="INN">
    <w:name w:val="INN"/>
    <w:uiPriority w:val="1"/>
    <w:qFormat/>
    <w:locked/>
    <w:rsid w:val="00715594"/>
    <w:rPr>
      <w:rFonts w:ascii="Times New Roman Bold" w:hAnsi="Times New Roman Bold"/>
      <w:b/>
      <w:sz w:val="48"/>
    </w:rPr>
  </w:style>
  <w:style w:type="paragraph" w:customStyle="1" w:styleId="INNWrapper">
    <w:name w:val="INN Wrapper"/>
    <w:basedOn w:val="a1"/>
    <w:qFormat/>
    <w:locked/>
    <w:rsid w:val="00715594"/>
    <w:pPr>
      <w:spacing w:after="120"/>
      <w:jc w:val="center"/>
    </w:pPr>
    <w:rPr>
      <w:rFonts w:eastAsiaTheme="minorHAnsi"/>
      <w:b/>
      <w:sz w:val="48"/>
      <w:lang w:val="en-CA"/>
    </w:rPr>
  </w:style>
  <w:style w:type="character" w:customStyle="1" w:styleId="Keyword">
    <w:name w:val="Keyword"/>
    <w:locked/>
    <w:rsid w:val="00715594"/>
    <w:rPr>
      <w:bdr w:val="none" w:sz="0" w:space="0" w:color="auto" w:frame="1"/>
      <w:shd w:val="clear" w:color="auto" w:fill="C0C0C0"/>
    </w:rPr>
  </w:style>
  <w:style w:type="paragraph" w:customStyle="1" w:styleId="KeywordDefinition">
    <w:name w:val="Keyword Definition"/>
    <w:basedOn w:val="a1"/>
    <w:locked/>
    <w:rsid w:val="00715594"/>
    <w:pPr>
      <w:spacing w:after="80"/>
      <w:ind w:left="3770" w:hanging="3600"/>
    </w:pPr>
    <w:rPr>
      <w:rFonts w:eastAsia="Times New Roman" w:cs="Times New Roman"/>
      <w:sz w:val="20"/>
      <w:lang w:val="en-CA" w:eastAsia="en-CA"/>
    </w:rPr>
  </w:style>
  <w:style w:type="paragraph" w:customStyle="1" w:styleId="KeywordEnd">
    <w:name w:val="Keyword End"/>
    <w:basedOn w:val="a1"/>
    <w:locked/>
    <w:rsid w:val="00715594"/>
    <w:pPr>
      <w:spacing w:before="120" w:after="720"/>
    </w:pPr>
    <w:rPr>
      <w:rFonts w:eastAsia="Times New Roman" w:cs="Times New Roman"/>
      <w:lang w:val="en-CA" w:eastAsia="en-CA"/>
    </w:rPr>
  </w:style>
  <w:style w:type="character" w:customStyle="1" w:styleId="KeywordName">
    <w:name w:val="Keyword Name"/>
    <w:basedOn w:val="a2"/>
    <w:locked/>
    <w:rsid w:val="00715594"/>
    <w:rPr>
      <w:rFonts w:ascii="Times New Roman" w:hAnsi="Times New Roman" w:cs="Times New Roman" w:hint="default"/>
      <w:sz w:val="18"/>
    </w:rPr>
  </w:style>
  <w:style w:type="paragraph" w:customStyle="1" w:styleId="KeywordTitle">
    <w:name w:val="Keyword Title"/>
    <w:basedOn w:val="a1"/>
    <w:locked/>
    <w:rsid w:val="00715594"/>
    <w:pPr>
      <w:spacing w:before="120" w:after="120"/>
    </w:pPr>
    <w:rPr>
      <w:rFonts w:ascii="Times New Roman Bold" w:eastAsia="Times New Roman" w:hAnsi="Times New Roman Bold" w:cs="Times New Roman"/>
      <w:b/>
      <w:caps/>
      <w:sz w:val="20"/>
      <w:u w:val="single"/>
      <w:lang w:val="en-CA" w:eastAsia="en-CA"/>
    </w:rPr>
  </w:style>
  <w:style w:type="table" w:styleId="-4">
    <w:name w:val="Light Shading Accent 4"/>
    <w:basedOn w:val="a3"/>
    <w:uiPriority w:val="60"/>
    <w:rsid w:val="00715594"/>
    <w:pPr>
      <w:spacing w:after="0" w:line="240" w:lineRule="auto"/>
    </w:pPr>
    <w:rPr>
      <w:rFonts w:eastAsiaTheme="minorHAnsi"/>
      <w:color w:val="5F497A" w:themeColor="accent4" w:themeShade="BF"/>
      <w:lang w:val="en-CA"/>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Line">
    <w:name w:val="Line"/>
    <w:basedOn w:val="a6"/>
    <w:rsid w:val="00715594"/>
    <w:pPr>
      <w:pBdr>
        <w:bottom w:val="dashed" w:sz="4" w:space="1" w:color="808080"/>
      </w:pBdr>
      <w:spacing w:after="0"/>
    </w:pPr>
    <w:rPr>
      <w:sz w:val="2"/>
      <w:szCs w:val="2"/>
      <w:lang w:val="en-GB" w:eastAsia="en-US"/>
    </w:rPr>
  </w:style>
  <w:style w:type="paragraph" w:styleId="53">
    <w:name w:val="List 5"/>
    <w:basedOn w:val="a1"/>
    <w:uiPriority w:val="99"/>
    <w:semiHidden/>
    <w:unhideWhenUsed/>
    <w:rsid w:val="00715594"/>
    <w:pPr>
      <w:ind w:left="1800" w:hanging="360"/>
    </w:pPr>
    <w:rPr>
      <w:rFonts w:eastAsiaTheme="minorHAnsi"/>
      <w:lang w:val="en-CA"/>
    </w:rPr>
  </w:style>
  <w:style w:type="character" w:customStyle="1" w:styleId="Optional">
    <w:name w:val="Optional"/>
    <w:uiPriority w:val="1"/>
    <w:locked/>
    <w:rsid w:val="00715594"/>
    <w:rPr>
      <w:vanish w:val="0"/>
      <w:bdr w:val="none" w:sz="0" w:space="0" w:color="auto"/>
      <w:shd w:val="clear" w:color="auto" w:fill="DBE5F1" w:themeFill="accent1" w:themeFillTint="33"/>
    </w:rPr>
  </w:style>
  <w:style w:type="character" w:customStyle="1" w:styleId="PIMBold">
    <w:name w:val="PIM Bold"/>
    <w:rsid w:val="00715594"/>
    <w:rPr>
      <w:rFonts w:ascii="Arial" w:hAnsi="Arial" w:cs="Arial" w:hint="default"/>
      <w:b/>
      <w:bCs w:val="0"/>
      <w:sz w:val="20"/>
    </w:rPr>
  </w:style>
  <w:style w:type="paragraph" w:customStyle="1" w:styleId="PIMEnvelope">
    <w:name w:val="PIM Envelope"/>
    <w:basedOn w:val="a1"/>
    <w:link w:val="PIMEnvelopeChar"/>
    <w:locked/>
    <w:rsid w:val="00715594"/>
    <w:pPr>
      <w:spacing w:after="80"/>
    </w:pPr>
    <w:rPr>
      <w:rFonts w:ascii="Arial" w:eastAsia="Times New Roman" w:hAnsi="Arial" w:cs="Times New Roman"/>
      <w:sz w:val="20"/>
      <w:szCs w:val="24"/>
    </w:rPr>
  </w:style>
  <w:style w:type="character" w:customStyle="1" w:styleId="PIMEnvelopeChar">
    <w:name w:val="PIM Envelope Char"/>
    <w:basedOn w:val="a2"/>
    <w:link w:val="PIMEnvelope"/>
    <w:rsid w:val="00715594"/>
    <w:rPr>
      <w:rFonts w:ascii="Arial" w:eastAsia="Times New Roman" w:hAnsi="Arial" w:cs="Times New Roman"/>
      <w:sz w:val="20"/>
      <w:szCs w:val="24"/>
    </w:rPr>
  </w:style>
  <w:style w:type="character" w:customStyle="1" w:styleId="PPN">
    <w:name w:val="PPN"/>
    <w:uiPriority w:val="1"/>
    <w:qFormat/>
    <w:locked/>
    <w:rsid w:val="00715594"/>
  </w:style>
  <w:style w:type="paragraph" w:customStyle="1" w:styleId="PPNWrapper">
    <w:name w:val="PPN Wrapper"/>
    <w:basedOn w:val="a1"/>
    <w:qFormat/>
    <w:locked/>
    <w:rsid w:val="00715594"/>
    <w:pPr>
      <w:spacing w:after="480"/>
      <w:jc w:val="center"/>
    </w:pPr>
    <w:rPr>
      <w:rFonts w:eastAsiaTheme="minorHAnsi"/>
      <w:i/>
      <w:sz w:val="48"/>
      <w:lang w:val="en-CA"/>
    </w:rPr>
  </w:style>
  <w:style w:type="character" w:customStyle="1" w:styleId="ShowTagStyle">
    <w:name w:val="ShowTagStyle"/>
    <w:basedOn w:val="a2"/>
    <w:locked/>
    <w:rsid w:val="00715594"/>
    <w:rPr>
      <w:rFonts w:ascii="Times New Roman" w:hAnsi="Times New Roman" w:cs="Times New Roman" w:hint="default"/>
      <w:b/>
      <w:bCs w:val="0"/>
      <w:noProof/>
      <w:vanish/>
      <w:webHidden w:val="0"/>
      <w:color w:val="3366FF"/>
      <w:sz w:val="24"/>
      <w:specVanish w:val="0"/>
    </w:rPr>
  </w:style>
  <w:style w:type="paragraph" w:customStyle="1" w:styleId="StrengthWrapper">
    <w:name w:val="Strength Wrapper"/>
    <w:basedOn w:val="a1"/>
    <w:qFormat/>
    <w:locked/>
    <w:rsid w:val="00715594"/>
    <w:pPr>
      <w:spacing w:after="120"/>
      <w:jc w:val="center"/>
    </w:pPr>
    <w:rPr>
      <w:rFonts w:eastAsiaTheme="minorHAnsi"/>
      <w:sz w:val="32"/>
      <w:lang w:val="en-CA"/>
    </w:rPr>
  </w:style>
  <w:style w:type="numbering" w:customStyle="1" w:styleId="Style1">
    <w:name w:val="Style1"/>
    <w:uiPriority w:val="99"/>
    <w:locked/>
    <w:rsid w:val="00715594"/>
    <w:pPr>
      <w:numPr>
        <w:numId w:val="27"/>
      </w:numPr>
    </w:pPr>
  </w:style>
  <w:style w:type="numbering" w:customStyle="1" w:styleId="Style2">
    <w:name w:val="Style2"/>
    <w:uiPriority w:val="99"/>
    <w:locked/>
    <w:rsid w:val="00715594"/>
    <w:pPr>
      <w:numPr>
        <w:numId w:val="28"/>
      </w:numPr>
    </w:pPr>
  </w:style>
  <w:style w:type="paragraph" w:customStyle="1" w:styleId="TableNotes">
    <w:name w:val="Table Notes"/>
    <w:basedOn w:val="aa"/>
    <w:locked/>
    <w:rsid w:val="00D27A87"/>
    <w:pPr>
      <w:numPr>
        <w:numId w:val="30"/>
      </w:numPr>
      <w:spacing w:after="200" w:line="276" w:lineRule="auto"/>
      <w:contextualSpacing/>
    </w:pPr>
    <w:rPr>
      <w:rFonts w:eastAsia="Times New Roman" w:cs="Times New Roman"/>
      <w:sz w:val="18"/>
      <w:szCs w:val="24"/>
    </w:rPr>
  </w:style>
  <w:style w:type="character" w:customStyle="1" w:styleId="TableNoteMarker">
    <w:name w:val="TableNoteMarker"/>
    <w:basedOn w:val="a2"/>
    <w:uiPriority w:val="1"/>
    <w:qFormat/>
    <w:locked/>
    <w:rsid w:val="00715594"/>
    <w:rPr>
      <w:i/>
      <w:vertAlign w:val="superscript"/>
    </w:rPr>
  </w:style>
  <w:style w:type="character" w:customStyle="1" w:styleId="Version">
    <w:name w:val="Version"/>
    <w:uiPriority w:val="1"/>
    <w:qFormat/>
    <w:locked/>
    <w:rsid w:val="00715594"/>
  </w:style>
  <w:style w:type="paragraph" w:customStyle="1" w:styleId="VersionWrapper">
    <w:name w:val="Version Wrapper"/>
    <w:basedOn w:val="a1"/>
    <w:qFormat/>
    <w:locked/>
    <w:rsid w:val="00715594"/>
    <w:pPr>
      <w:spacing w:before="360" w:after="360"/>
      <w:jc w:val="center"/>
    </w:pPr>
    <w:rPr>
      <w:rFonts w:eastAsiaTheme="minorHAnsi"/>
      <w:sz w:val="32"/>
      <w:lang w:val="en-CA"/>
    </w:rPr>
  </w:style>
  <w:style w:type="character" w:customStyle="1" w:styleId="xCCDSDate">
    <w:name w:val="xCCDSDate"/>
    <w:uiPriority w:val="1"/>
    <w:qFormat/>
    <w:locked/>
    <w:rsid w:val="00715594"/>
  </w:style>
  <w:style w:type="paragraph" w:customStyle="1" w:styleId="xCCDSDateWrapper">
    <w:name w:val="xCCDSDate Wrapper"/>
    <w:basedOn w:val="a1"/>
    <w:qFormat/>
    <w:locked/>
    <w:rsid w:val="00715594"/>
    <w:pPr>
      <w:spacing w:after="360"/>
      <w:jc w:val="center"/>
    </w:pPr>
    <w:rPr>
      <w:rFonts w:eastAsiaTheme="minorHAnsi"/>
      <w:i/>
      <w:sz w:val="32"/>
      <w:lang w:val="en-CA"/>
    </w:rPr>
  </w:style>
  <w:style w:type="paragraph" w:customStyle="1" w:styleId="TableSource">
    <w:name w:val="Table Source"/>
    <w:basedOn w:val="a1"/>
    <w:rsid w:val="00D27A87"/>
    <w:pPr>
      <w:ind w:left="288"/>
    </w:pPr>
    <w:rPr>
      <w:rFonts w:eastAsia="Times New Roman" w:cs="Times New Roman"/>
      <w:sz w:val="20"/>
      <w:szCs w:val="24"/>
    </w:rPr>
  </w:style>
  <w:style w:type="paragraph" w:customStyle="1" w:styleId="TitleSPC">
    <w:name w:val="Title SPC"/>
    <w:basedOn w:val="1"/>
    <w:qFormat/>
    <w:rsid w:val="00733A9B"/>
    <w:pPr>
      <w:spacing w:before="0" w:line="260" w:lineRule="exact"/>
      <w:contextualSpacing/>
      <w:jc w:val="center"/>
    </w:pPr>
  </w:style>
  <w:style w:type="numbering" w:customStyle="1" w:styleId="111111">
    <w:name w:val="111111"/>
    <w:pPr>
      <w:numPr>
        <w:numId w:val="23"/>
      </w:numPr>
    </w:pPr>
  </w:style>
  <w:style w:type="paragraph" w:customStyle="1" w:styleId="TableBulletGuidance">
    <w:name w:val="Table Bullet Guidance"/>
    <w:basedOn w:val="a1"/>
    <w:rsid w:val="006120F6"/>
    <w:pPr>
      <w:keepLines/>
      <w:numPr>
        <w:numId w:val="31"/>
      </w:numPr>
      <w:spacing w:before="60" w:after="60"/>
    </w:pPr>
    <w:rPr>
      <w:rFonts w:eastAsia="SimSun" w:cs="Times New Roman"/>
      <w:i/>
      <w:color w:val="0000FF"/>
      <w:sz w:val="20"/>
      <w:szCs w:val="20"/>
    </w:rPr>
  </w:style>
  <w:style w:type="paragraph" w:customStyle="1" w:styleId="00Paragraph">
    <w:name w:val="00Paragraph"/>
    <w:link w:val="00Paragraph0"/>
    <w:qFormat/>
    <w:rsid w:val="00CE33D1"/>
    <w:pPr>
      <w:spacing w:before="120" w:after="120" w:line="300" w:lineRule="atLeast"/>
    </w:pPr>
    <w:rPr>
      <w:rFonts w:ascii="Times New Roman" w:eastAsia="MS Mincho" w:hAnsi="Times New Roman" w:cs="Times New Roman"/>
      <w:sz w:val="24"/>
      <w:szCs w:val="24"/>
    </w:rPr>
  </w:style>
  <w:style w:type="character" w:customStyle="1" w:styleId="00Paragraph0">
    <w:name w:val="00Paragraph (文字)"/>
    <w:link w:val="00Paragraph"/>
    <w:locked/>
    <w:rsid w:val="00CE33D1"/>
    <w:rPr>
      <w:rFonts w:ascii="Times New Roman" w:eastAsia="MS Mincho" w:hAnsi="Times New Roman" w:cs="Times New Roman"/>
      <w:sz w:val="24"/>
      <w:szCs w:val="24"/>
    </w:rPr>
  </w:style>
  <w:style w:type="paragraph" w:customStyle="1" w:styleId="Style5">
    <w:name w:val="Style5"/>
    <w:basedOn w:val="a1"/>
    <w:uiPriority w:val="99"/>
    <w:rsid w:val="004B5B51"/>
    <w:pPr>
      <w:widowControl w:val="0"/>
      <w:autoSpaceDE w:val="0"/>
      <w:autoSpaceDN w:val="0"/>
      <w:adjustRightInd w:val="0"/>
      <w:spacing w:line="274" w:lineRule="exact"/>
      <w:jc w:val="both"/>
    </w:pPr>
    <w:rPr>
      <w:rFonts w:eastAsia="Times New Roman" w:cs="Times New Roman"/>
      <w:sz w:val="24"/>
      <w:szCs w:val="24"/>
      <w:lang w:val="ru-RU" w:eastAsia="ru-RU"/>
    </w:rPr>
  </w:style>
  <w:style w:type="paragraph" w:styleId="25">
    <w:name w:val="Body Text 2"/>
    <w:basedOn w:val="a1"/>
    <w:link w:val="26"/>
    <w:uiPriority w:val="99"/>
    <w:semiHidden/>
    <w:unhideWhenUsed/>
    <w:rsid w:val="004B5B51"/>
    <w:pPr>
      <w:spacing w:after="120" w:line="480" w:lineRule="auto"/>
    </w:pPr>
    <w:rPr>
      <w:rFonts w:ascii="Calibri" w:eastAsia="Calibri" w:hAnsi="Calibri" w:cs="Times New Roman"/>
      <w:lang w:val="ru-RU"/>
    </w:rPr>
  </w:style>
  <w:style w:type="character" w:customStyle="1" w:styleId="26">
    <w:name w:val="Основной текст 2 Знак"/>
    <w:basedOn w:val="a2"/>
    <w:link w:val="25"/>
    <w:uiPriority w:val="99"/>
    <w:semiHidden/>
    <w:rsid w:val="004B5B51"/>
    <w:rPr>
      <w:rFonts w:ascii="Calibri" w:eastAsia="Calibri" w:hAnsi="Calibri" w:cs="Times New Roman"/>
      <w:lang w:val="ru-RU"/>
    </w:rPr>
  </w:style>
  <w:style w:type="table" w:customStyle="1" w:styleId="12">
    <w:name w:val="Сітка таблиці (світла)1"/>
    <w:basedOn w:val="a3"/>
    <w:uiPriority w:val="40"/>
    <w:rsid w:val="00A64756"/>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0">
    <w:name w:val="Звичайна таблиця 11"/>
    <w:basedOn w:val="a3"/>
    <w:uiPriority w:val="41"/>
    <w:rsid w:val="00A64756"/>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0">
    <w:name w:val="Звичайна таблиця 21"/>
    <w:basedOn w:val="a3"/>
    <w:uiPriority w:val="42"/>
    <w:rsid w:val="00A64756"/>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3">
    <w:name w:val="Normal (Web)"/>
    <w:basedOn w:val="a1"/>
    <w:uiPriority w:val="99"/>
    <w:unhideWhenUsed/>
    <w:rsid w:val="00294CFF"/>
    <w:pPr>
      <w:spacing w:before="100" w:beforeAutospacing="1" w:after="100" w:afterAutospacing="1"/>
    </w:pPr>
    <w:rPr>
      <w:rFonts w:eastAsia="Times New Roman" w:cs="Times New Roman"/>
      <w:sz w:val="24"/>
      <w:szCs w:val="24"/>
      <w:lang w:val="uk-UA" w:eastAsia="uk-UA"/>
    </w:rPr>
  </w:style>
  <w:style w:type="paragraph" w:customStyle="1" w:styleId="msonormal0">
    <w:name w:val="msonormal"/>
    <w:basedOn w:val="a1"/>
    <w:rsid w:val="00E20E6B"/>
    <w:pPr>
      <w:spacing w:before="100" w:beforeAutospacing="1" w:after="100" w:afterAutospacing="1"/>
    </w:pPr>
    <w:rPr>
      <w:rFonts w:eastAsia="Times New Roman" w:cs="Times New Roman"/>
      <w:sz w:val="24"/>
      <w:szCs w:val="24"/>
      <w:lang w:val="uk-UA" w:eastAsia="uk-UA"/>
    </w:rPr>
  </w:style>
  <w:style w:type="character" w:customStyle="1" w:styleId="27">
    <w:name w:val="Основной текст (2)_"/>
    <w:link w:val="211"/>
    <w:rsid w:val="001F0AC4"/>
    <w:rPr>
      <w:shd w:val="clear" w:color="auto" w:fill="FFFFFF"/>
      <w:lang w:bidi="he-IL"/>
    </w:rPr>
  </w:style>
  <w:style w:type="character" w:customStyle="1" w:styleId="28">
    <w:name w:val="Основной текст (2) + Полужирный"/>
    <w:rsid w:val="001F0AC4"/>
    <w:rPr>
      <w:b/>
      <w:bCs/>
      <w:sz w:val="22"/>
      <w:szCs w:val="22"/>
      <w:lang w:bidi="he-IL"/>
    </w:rPr>
  </w:style>
  <w:style w:type="character" w:customStyle="1" w:styleId="230">
    <w:name w:val="Основной текст (2)3"/>
    <w:basedOn w:val="27"/>
    <w:rsid w:val="001F0AC4"/>
    <w:rPr>
      <w:shd w:val="clear" w:color="auto" w:fill="FFFFFF"/>
      <w:lang w:bidi="he-IL"/>
    </w:rPr>
  </w:style>
  <w:style w:type="paragraph" w:customStyle="1" w:styleId="211">
    <w:name w:val="Основной текст (2)1"/>
    <w:basedOn w:val="a1"/>
    <w:link w:val="27"/>
    <w:rsid w:val="001F0AC4"/>
    <w:pPr>
      <w:widowControl w:val="0"/>
      <w:shd w:val="clear" w:color="auto" w:fill="FFFFFF"/>
      <w:spacing w:line="254" w:lineRule="exact"/>
      <w:ind w:hanging="620"/>
    </w:pPr>
    <w:rPr>
      <w:rFonts w:asciiTheme="minorHAnsi" w:hAnsiTheme="minorHAnsi"/>
      <w:lang w:bidi="he-IL"/>
    </w:rPr>
  </w:style>
  <w:style w:type="character" w:customStyle="1" w:styleId="220">
    <w:name w:val="Основной текст (2) + Курсив2"/>
    <w:rsid w:val="00383DBC"/>
    <w:rPr>
      <w:rFonts w:ascii="Times New Roman" w:hAnsi="Times New Roman" w:cs="Times New Roman"/>
      <w:i/>
      <w:iCs/>
      <w:sz w:val="22"/>
      <w:szCs w:val="22"/>
      <w:u w:val="none"/>
      <w:lang w:bidi="he-IL"/>
    </w:rPr>
  </w:style>
  <w:style w:type="character" w:customStyle="1" w:styleId="13">
    <w:name w:val="Неразрешенное упоминание1"/>
    <w:basedOn w:val="a2"/>
    <w:uiPriority w:val="99"/>
    <w:semiHidden/>
    <w:unhideWhenUsed/>
    <w:rsid w:val="007968F5"/>
    <w:rPr>
      <w:color w:val="605E5C"/>
      <w:shd w:val="clear" w:color="auto" w:fill="E1DFDD"/>
    </w:rPr>
  </w:style>
  <w:style w:type="character" w:customStyle="1" w:styleId="14">
    <w:name w:val="Незакрита згадка1"/>
    <w:basedOn w:val="a2"/>
    <w:uiPriority w:val="99"/>
    <w:semiHidden/>
    <w:unhideWhenUsed/>
    <w:rsid w:val="008765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4036">
      <w:bodyDiv w:val="1"/>
      <w:marLeft w:val="0"/>
      <w:marRight w:val="0"/>
      <w:marTop w:val="0"/>
      <w:marBottom w:val="0"/>
      <w:divBdr>
        <w:top w:val="none" w:sz="0" w:space="0" w:color="auto"/>
        <w:left w:val="none" w:sz="0" w:space="0" w:color="auto"/>
        <w:bottom w:val="none" w:sz="0" w:space="0" w:color="auto"/>
        <w:right w:val="none" w:sz="0" w:space="0" w:color="auto"/>
      </w:divBdr>
    </w:div>
    <w:div w:id="6297754">
      <w:bodyDiv w:val="1"/>
      <w:marLeft w:val="0"/>
      <w:marRight w:val="0"/>
      <w:marTop w:val="0"/>
      <w:marBottom w:val="0"/>
      <w:divBdr>
        <w:top w:val="none" w:sz="0" w:space="0" w:color="auto"/>
        <w:left w:val="none" w:sz="0" w:space="0" w:color="auto"/>
        <w:bottom w:val="none" w:sz="0" w:space="0" w:color="auto"/>
        <w:right w:val="none" w:sz="0" w:space="0" w:color="auto"/>
      </w:divBdr>
    </w:div>
    <w:div w:id="73020011">
      <w:bodyDiv w:val="1"/>
      <w:marLeft w:val="0"/>
      <w:marRight w:val="0"/>
      <w:marTop w:val="0"/>
      <w:marBottom w:val="0"/>
      <w:divBdr>
        <w:top w:val="none" w:sz="0" w:space="0" w:color="auto"/>
        <w:left w:val="none" w:sz="0" w:space="0" w:color="auto"/>
        <w:bottom w:val="none" w:sz="0" w:space="0" w:color="auto"/>
        <w:right w:val="none" w:sz="0" w:space="0" w:color="auto"/>
      </w:divBdr>
    </w:div>
    <w:div w:id="107358712">
      <w:bodyDiv w:val="1"/>
      <w:marLeft w:val="0"/>
      <w:marRight w:val="0"/>
      <w:marTop w:val="0"/>
      <w:marBottom w:val="0"/>
      <w:divBdr>
        <w:top w:val="none" w:sz="0" w:space="0" w:color="auto"/>
        <w:left w:val="none" w:sz="0" w:space="0" w:color="auto"/>
        <w:bottom w:val="none" w:sz="0" w:space="0" w:color="auto"/>
        <w:right w:val="none" w:sz="0" w:space="0" w:color="auto"/>
      </w:divBdr>
    </w:div>
    <w:div w:id="146754294">
      <w:bodyDiv w:val="1"/>
      <w:marLeft w:val="0"/>
      <w:marRight w:val="0"/>
      <w:marTop w:val="0"/>
      <w:marBottom w:val="0"/>
      <w:divBdr>
        <w:top w:val="none" w:sz="0" w:space="0" w:color="auto"/>
        <w:left w:val="none" w:sz="0" w:space="0" w:color="auto"/>
        <w:bottom w:val="none" w:sz="0" w:space="0" w:color="auto"/>
        <w:right w:val="none" w:sz="0" w:space="0" w:color="auto"/>
      </w:divBdr>
    </w:div>
    <w:div w:id="200557242">
      <w:bodyDiv w:val="1"/>
      <w:marLeft w:val="0"/>
      <w:marRight w:val="0"/>
      <w:marTop w:val="0"/>
      <w:marBottom w:val="0"/>
      <w:divBdr>
        <w:top w:val="none" w:sz="0" w:space="0" w:color="auto"/>
        <w:left w:val="none" w:sz="0" w:space="0" w:color="auto"/>
        <w:bottom w:val="none" w:sz="0" w:space="0" w:color="auto"/>
        <w:right w:val="none" w:sz="0" w:space="0" w:color="auto"/>
      </w:divBdr>
    </w:div>
    <w:div w:id="275676701">
      <w:bodyDiv w:val="1"/>
      <w:marLeft w:val="0"/>
      <w:marRight w:val="0"/>
      <w:marTop w:val="0"/>
      <w:marBottom w:val="0"/>
      <w:divBdr>
        <w:top w:val="none" w:sz="0" w:space="0" w:color="auto"/>
        <w:left w:val="none" w:sz="0" w:space="0" w:color="auto"/>
        <w:bottom w:val="none" w:sz="0" w:space="0" w:color="auto"/>
        <w:right w:val="none" w:sz="0" w:space="0" w:color="auto"/>
      </w:divBdr>
    </w:div>
    <w:div w:id="276956489">
      <w:bodyDiv w:val="1"/>
      <w:marLeft w:val="0"/>
      <w:marRight w:val="0"/>
      <w:marTop w:val="0"/>
      <w:marBottom w:val="0"/>
      <w:divBdr>
        <w:top w:val="none" w:sz="0" w:space="0" w:color="auto"/>
        <w:left w:val="none" w:sz="0" w:space="0" w:color="auto"/>
        <w:bottom w:val="none" w:sz="0" w:space="0" w:color="auto"/>
        <w:right w:val="none" w:sz="0" w:space="0" w:color="auto"/>
      </w:divBdr>
    </w:div>
    <w:div w:id="458495022">
      <w:bodyDiv w:val="1"/>
      <w:marLeft w:val="0"/>
      <w:marRight w:val="0"/>
      <w:marTop w:val="0"/>
      <w:marBottom w:val="0"/>
      <w:divBdr>
        <w:top w:val="none" w:sz="0" w:space="0" w:color="auto"/>
        <w:left w:val="none" w:sz="0" w:space="0" w:color="auto"/>
        <w:bottom w:val="none" w:sz="0" w:space="0" w:color="auto"/>
        <w:right w:val="none" w:sz="0" w:space="0" w:color="auto"/>
      </w:divBdr>
    </w:div>
    <w:div w:id="713621765">
      <w:bodyDiv w:val="1"/>
      <w:marLeft w:val="0"/>
      <w:marRight w:val="0"/>
      <w:marTop w:val="0"/>
      <w:marBottom w:val="0"/>
      <w:divBdr>
        <w:top w:val="none" w:sz="0" w:space="0" w:color="auto"/>
        <w:left w:val="none" w:sz="0" w:space="0" w:color="auto"/>
        <w:bottom w:val="none" w:sz="0" w:space="0" w:color="auto"/>
        <w:right w:val="none" w:sz="0" w:space="0" w:color="auto"/>
      </w:divBdr>
    </w:div>
    <w:div w:id="780150991">
      <w:bodyDiv w:val="1"/>
      <w:marLeft w:val="0"/>
      <w:marRight w:val="0"/>
      <w:marTop w:val="0"/>
      <w:marBottom w:val="0"/>
      <w:divBdr>
        <w:top w:val="none" w:sz="0" w:space="0" w:color="auto"/>
        <w:left w:val="none" w:sz="0" w:space="0" w:color="auto"/>
        <w:bottom w:val="none" w:sz="0" w:space="0" w:color="auto"/>
        <w:right w:val="none" w:sz="0" w:space="0" w:color="auto"/>
      </w:divBdr>
    </w:div>
    <w:div w:id="868642267">
      <w:bodyDiv w:val="1"/>
      <w:marLeft w:val="0"/>
      <w:marRight w:val="0"/>
      <w:marTop w:val="0"/>
      <w:marBottom w:val="0"/>
      <w:divBdr>
        <w:top w:val="none" w:sz="0" w:space="0" w:color="auto"/>
        <w:left w:val="none" w:sz="0" w:space="0" w:color="auto"/>
        <w:bottom w:val="none" w:sz="0" w:space="0" w:color="auto"/>
        <w:right w:val="none" w:sz="0" w:space="0" w:color="auto"/>
      </w:divBdr>
    </w:div>
    <w:div w:id="900361232">
      <w:bodyDiv w:val="1"/>
      <w:marLeft w:val="0"/>
      <w:marRight w:val="0"/>
      <w:marTop w:val="0"/>
      <w:marBottom w:val="0"/>
      <w:divBdr>
        <w:top w:val="none" w:sz="0" w:space="0" w:color="auto"/>
        <w:left w:val="none" w:sz="0" w:space="0" w:color="auto"/>
        <w:bottom w:val="none" w:sz="0" w:space="0" w:color="auto"/>
        <w:right w:val="none" w:sz="0" w:space="0" w:color="auto"/>
      </w:divBdr>
    </w:div>
    <w:div w:id="967203727">
      <w:bodyDiv w:val="1"/>
      <w:marLeft w:val="0"/>
      <w:marRight w:val="0"/>
      <w:marTop w:val="0"/>
      <w:marBottom w:val="0"/>
      <w:divBdr>
        <w:top w:val="none" w:sz="0" w:space="0" w:color="auto"/>
        <w:left w:val="none" w:sz="0" w:space="0" w:color="auto"/>
        <w:bottom w:val="none" w:sz="0" w:space="0" w:color="auto"/>
        <w:right w:val="none" w:sz="0" w:space="0" w:color="auto"/>
      </w:divBdr>
    </w:div>
    <w:div w:id="989403159">
      <w:bodyDiv w:val="1"/>
      <w:marLeft w:val="0"/>
      <w:marRight w:val="0"/>
      <w:marTop w:val="0"/>
      <w:marBottom w:val="0"/>
      <w:divBdr>
        <w:top w:val="none" w:sz="0" w:space="0" w:color="auto"/>
        <w:left w:val="none" w:sz="0" w:space="0" w:color="auto"/>
        <w:bottom w:val="none" w:sz="0" w:space="0" w:color="auto"/>
        <w:right w:val="none" w:sz="0" w:space="0" w:color="auto"/>
      </w:divBdr>
    </w:div>
    <w:div w:id="1060179349">
      <w:bodyDiv w:val="1"/>
      <w:marLeft w:val="0"/>
      <w:marRight w:val="0"/>
      <w:marTop w:val="0"/>
      <w:marBottom w:val="0"/>
      <w:divBdr>
        <w:top w:val="none" w:sz="0" w:space="0" w:color="auto"/>
        <w:left w:val="none" w:sz="0" w:space="0" w:color="auto"/>
        <w:bottom w:val="none" w:sz="0" w:space="0" w:color="auto"/>
        <w:right w:val="none" w:sz="0" w:space="0" w:color="auto"/>
      </w:divBdr>
    </w:div>
    <w:div w:id="1276716018">
      <w:bodyDiv w:val="1"/>
      <w:marLeft w:val="0"/>
      <w:marRight w:val="0"/>
      <w:marTop w:val="0"/>
      <w:marBottom w:val="0"/>
      <w:divBdr>
        <w:top w:val="none" w:sz="0" w:space="0" w:color="auto"/>
        <w:left w:val="none" w:sz="0" w:space="0" w:color="auto"/>
        <w:bottom w:val="none" w:sz="0" w:space="0" w:color="auto"/>
        <w:right w:val="none" w:sz="0" w:space="0" w:color="auto"/>
      </w:divBdr>
    </w:div>
    <w:div w:id="1297025480">
      <w:bodyDiv w:val="1"/>
      <w:marLeft w:val="0"/>
      <w:marRight w:val="0"/>
      <w:marTop w:val="0"/>
      <w:marBottom w:val="0"/>
      <w:divBdr>
        <w:top w:val="none" w:sz="0" w:space="0" w:color="auto"/>
        <w:left w:val="none" w:sz="0" w:space="0" w:color="auto"/>
        <w:bottom w:val="none" w:sz="0" w:space="0" w:color="auto"/>
        <w:right w:val="none" w:sz="0" w:space="0" w:color="auto"/>
      </w:divBdr>
    </w:div>
    <w:div w:id="1303852326">
      <w:bodyDiv w:val="1"/>
      <w:marLeft w:val="0"/>
      <w:marRight w:val="0"/>
      <w:marTop w:val="0"/>
      <w:marBottom w:val="0"/>
      <w:divBdr>
        <w:top w:val="none" w:sz="0" w:space="0" w:color="auto"/>
        <w:left w:val="none" w:sz="0" w:space="0" w:color="auto"/>
        <w:bottom w:val="none" w:sz="0" w:space="0" w:color="auto"/>
        <w:right w:val="none" w:sz="0" w:space="0" w:color="auto"/>
      </w:divBdr>
    </w:div>
    <w:div w:id="1314068023">
      <w:bodyDiv w:val="1"/>
      <w:marLeft w:val="0"/>
      <w:marRight w:val="0"/>
      <w:marTop w:val="0"/>
      <w:marBottom w:val="0"/>
      <w:divBdr>
        <w:top w:val="none" w:sz="0" w:space="0" w:color="auto"/>
        <w:left w:val="none" w:sz="0" w:space="0" w:color="auto"/>
        <w:bottom w:val="none" w:sz="0" w:space="0" w:color="auto"/>
        <w:right w:val="none" w:sz="0" w:space="0" w:color="auto"/>
      </w:divBdr>
    </w:div>
    <w:div w:id="1389256266">
      <w:bodyDiv w:val="1"/>
      <w:marLeft w:val="0"/>
      <w:marRight w:val="0"/>
      <w:marTop w:val="0"/>
      <w:marBottom w:val="0"/>
      <w:divBdr>
        <w:top w:val="none" w:sz="0" w:space="0" w:color="auto"/>
        <w:left w:val="none" w:sz="0" w:space="0" w:color="auto"/>
        <w:bottom w:val="none" w:sz="0" w:space="0" w:color="auto"/>
        <w:right w:val="none" w:sz="0" w:space="0" w:color="auto"/>
      </w:divBdr>
    </w:div>
    <w:div w:id="1538199855">
      <w:bodyDiv w:val="1"/>
      <w:marLeft w:val="0"/>
      <w:marRight w:val="0"/>
      <w:marTop w:val="0"/>
      <w:marBottom w:val="0"/>
      <w:divBdr>
        <w:top w:val="none" w:sz="0" w:space="0" w:color="auto"/>
        <w:left w:val="none" w:sz="0" w:space="0" w:color="auto"/>
        <w:bottom w:val="none" w:sz="0" w:space="0" w:color="auto"/>
        <w:right w:val="none" w:sz="0" w:space="0" w:color="auto"/>
      </w:divBdr>
    </w:div>
    <w:div w:id="1543712464">
      <w:bodyDiv w:val="1"/>
      <w:marLeft w:val="0"/>
      <w:marRight w:val="0"/>
      <w:marTop w:val="0"/>
      <w:marBottom w:val="0"/>
      <w:divBdr>
        <w:top w:val="none" w:sz="0" w:space="0" w:color="auto"/>
        <w:left w:val="none" w:sz="0" w:space="0" w:color="auto"/>
        <w:bottom w:val="none" w:sz="0" w:space="0" w:color="auto"/>
        <w:right w:val="none" w:sz="0" w:space="0" w:color="auto"/>
      </w:divBdr>
    </w:div>
    <w:div w:id="1567296412">
      <w:bodyDiv w:val="1"/>
      <w:marLeft w:val="0"/>
      <w:marRight w:val="0"/>
      <w:marTop w:val="0"/>
      <w:marBottom w:val="0"/>
      <w:divBdr>
        <w:top w:val="none" w:sz="0" w:space="0" w:color="auto"/>
        <w:left w:val="none" w:sz="0" w:space="0" w:color="auto"/>
        <w:bottom w:val="none" w:sz="0" w:space="0" w:color="auto"/>
        <w:right w:val="none" w:sz="0" w:space="0" w:color="auto"/>
      </w:divBdr>
      <w:divsChild>
        <w:div w:id="2146270446">
          <w:marLeft w:val="0"/>
          <w:marRight w:val="0"/>
          <w:marTop w:val="0"/>
          <w:marBottom w:val="0"/>
          <w:divBdr>
            <w:top w:val="none" w:sz="0" w:space="0" w:color="auto"/>
            <w:left w:val="none" w:sz="0" w:space="0" w:color="auto"/>
            <w:bottom w:val="none" w:sz="0" w:space="0" w:color="auto"/>
            <w:right w:val="none" w:sz="0" w:space="0" w:color="auto"/>
          </w:divBdr>
        </w:div>
      </w:divsChild>
    </w:div>
    <w:div w:id="1705786595">
      <w:bodyDiv w:val="1"/>
      <w:marLeft w:val="0"/>
      <w:marRight w:val="0"/>
      <w:marTop w:val="0"/>
      <w:marBottom w:val="0"/>
      <w:divBdr>
        <w:top w:val="none" w:sz="0" w:space="0" w:color="auto"/>
        <w:left w:val="none" w:sz="0" w:space="0" w:color="auto"/>
        <w:bottom w:val="none" w:sz="0" w:space="0" w:color="auto"/>
        <w:right w:val="none" w:sz="0" w:space="0" w:color="auto"/>
      </w:divBdr>
    </w:div>
    <w:div w:id="1717318454">
      <w:bodyDiv w:val="1"/>
      <w:marLeft w:val="0"/>
      <w:marRight w:val="0"/>
      <w:marTop w:val="0"/>
      <w:marBottom w:val="0"/>
      <w:divBdr>
        <w:top w:val="none" w:sz="0" w:space="0" w:color="auto"/>
        <w:left w:val="none" w:sz="0" w:space="0" w:color="auto"/>
        <w:bottom w:val="none" w:sz="0" w:space="0" w:color="auto"/>
        <w:right w:val="none" w:sz="0" w:space="0" w:color="auto"/>
      </w:divBdr>
    </w:div>
    <w:div w:id="1731265725">
      <w:bodyDiv w:val="1"/>
      <w:marLeft w:val="0"/>
      <w:marRight w:val="0"/>
      <w:marTop w:val="0"/>
      <w:marBottom w:val="0"/>
      <w:divBdr>
        <w:top w:val="none" w:sz="0" w:space="0" w:color="auto"/>
        <w:left w:val="none" w:sz="0" w:space="0" w:color="auto"/>
        <w:bottom w:val="none" w:sz="0" w:space="0" w:color="auto"/>
        <w:right w:val="none" w:sz="0" w:space="0" w:color="auto"/>
      </w:divBdr>
    </w:div>
    <w:div w:id="1767850357">
      <w:bodyDiv w:val="1"/>
      <w:marLeft w:val="0"/>
      <w:marRight w:val="0"/>
      <w:marTop w:val="0"/>
      <w:marBottom w:val="0"/>
      <w:divBdr>
        <w:top w:val="none" w:sz="0" w:space="0" w:color="auto"/>
        <w:left w:val="none" w:sz="0" w:space="0" w:color="auto"/>
        <w:bottom w:val="none" w:sz="0" w:space="0" w:color="auto"/>
        <w:right w:val="none" w:sz="0" w:space="0" w:color="auto"/>
      </w:divBdr>
      <w:divsChild>
        <w:div w:id="507136915">
          <w:marLeft w:val="0"/>
          <w:marRight w:val="0"/>
          <w:marTop w:val="0"/>
          <w:marBottom w:val="0"/>
          <w:divBdr>
            <w:top w:val="none" w:sz="0" w:space="0" w:color="auto"/>
            <w:left w:val="none" w:sz="0" w:space="0" w:color="auto"/>
            <w:bottom w:val="none" w:sz="0" w:space="0" w:color="auto"/>
            <w:right w:val="none" w:sz="0" w:space="0" w:color="auto"/>
          </w:divBdr>
        </w:div>
      </w:divsChild>
    </w:div>
    <w:div w:id="1790738095">
      <w:bodyDiv w:val="1"/>
      <w:marLeft w:val="0"/>
      <w:marRight w:val="0"/>
      <w:marTop w:val="0"/>
      <w:marBottom w:val="0"/>
      <w:divBdr>
        <w:top w:val="none" w:sz="0" w:space="0" w:color="auto"/>
        <w:left w:val="none" w:sz="0" w:space="0" w:color="auto"/>
        <w:bottom w:val="none" w:sz="0" w:space="0" w:color="auto"/>
        <w:right w:val="none" w:sz="0" w:space="0" w:color="auto"/>
      </w:divBdr>
    </w:div>
    <w:div w:id="1965380862">
      <w:bodyDiv w:val="1"/>
      <w:marLeft w:val="0"/>
      <w:marRight w:val="0"/>
      <w:marTop w:val="0"/>
      <w:marBottom w:val="0"/>
      <w:divBdr>
        <w:top w:val="none" w:sz="0" w:space="0" w:color="auto"/>
        <w:left w:val="none" w:sz="0" w:space="0" w:color="auto"/>
        <w:bottom w:val="none" w:sz="0" w:space="0" w:color="auto"/>
        <w:right w:val="none" w:sz="0" w:space="0" w:color="auto"/>
      </w:divBdr>
    </w:div>
    <w:div w:id="1998608995">
      <w:bodyDiv w:val="1"/>
      <w:marLeft w:val="0"/>
      <w:marRight w:val="0"/>
      <w:marTop w:val="0"/>
      <w:marBottom w:val="0"/>
      <w:divBdr>
        <w:top w:val="none" w:sz="0" w:space="0" w:color="auto"/>
        <w:left w:val="none" w:sz="0" w:space="0" w:color="auto"/>
        <w:bottom w:val="none" w:sz="0" w:space="0" w:color="auto"/>
        <w:right w:val="none" w:sz="0" w:space="0" w:color="auto"/>
      </w:divBdr>
    </w:div>
    <w:div w:id="205923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footnotes" Target="footnotes.xml"/><Relationship Id="rId25" Type="http://schemas.openxmlformats.org/officeDocument/2006/relationships/hyperlink" Target="http://www.ndda.kz" TargetMode="External"/><Relationship Id="rId2" Type="http://schemas.openxmlformats.org/officeDocument/2006/relationships/customXml" Target="../customXml/item1.xml"/><Relationship Id="rId16" Type="http://schemas.openxmlformats.org/officeDocument/2006/relationships/webSettings" Target="webSettings.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hyperlink" Target="mailto:info@mistral.capital" TargetMode="External"/><Relationship Id="rId5" Type="http://schemas.openxmlformats.org/officeDocument/2006/relationships/customXml" Target="../customXml/item4.xml"/><Relationship Id="rId15" Type="http://schemas.openxmlformats.org/officeDocument/2006/relationships/settings" Target="settings.xml"/><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customXml" Target="../customXml/item9.xml"/><Relationship Id="rId19" Type="http://schemas.openxmlformats.org/officeDocument/2006/relationships/hyperlink" Target="http://www.ndda.kz" TargetMode="Externa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styles" Target="styles.xml"/><Relationship Id="rId22" Type="http://schemas.openxmlformats.org/officeDocument/2006/relationships/image" Target="media/image3.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Description="" ma:contentTypeID="0x010100208C0351BEE5C3468A085A535416F741004513FD7AA8692341AA5BFBFC89F0B903" ma:contentTypeName="EAGLE Hub Document" ma:contentTypeScope="" ma:contentTypeVersion="3" ma:versionID="8d2dc0ca837d50cd31b19d4e8413d541">
  <xsd:schema xmlns:ns1="http://schemas.microsoft.com/sharepoint/v3" xmlns:ns2="8f50927b-c1aa-46a1-a2e1-538f37d56fc0" xmlns:ns3="c8f7ef64-a337-4380-87e0-326e9f843981" xmlns:p="http://schemas.microsoft.com/office/2006/metadata/properties" xmlns:xs="http://www.w3.org/2001/XMLSchema" xmlns:xsd="http://www.w3.org/2001/XMLSchema" ma:fieldsID="63c2be7df0245f8b22ac703be71ef8af" ma:root="true" ns1:_="" ns2:_="" ns3:_="" targetNamespace="http://schemas.microsoft.com/office/2006/metadata/properties">
    <xsd:import namespace="http://schemas.microsoft.com/sharepoint/v3"/>
    <xsd:import namespace="8f50927b-c1aa-46a1-a2e1-538f37d56fc0"/>
    <xsd:import namespace="c8f7ef64-a337-4380-87e0-326e9f843981"/>
    <xsd:element name="properties">
      <xsd:complexType>
        <xsd:sequence>
          <xsd:element name="documentManagement">
            <xsd:complexType>
              <xsd:all>
                <xsd:element minOccurs="0" ref="ns2:SystemID"/>
                <xsd:element minOccurs="0" ref="ns2:DocTypeID"/>
                <xsd:element minOccurs="0" ref="ns3:DocType"/>
                <xsd:element minOccurs="0" ref="ns1:FormData"/>
              </xsd:all>
            </xsd:complexType>
          </xsd:element>
        </xsd:sequence>
      </xsd:complexType>
    </xsd:element>
  </xsd:schema>
  <xsd:schema xmlns:dms="http://schemas.microsoft.com/office/2006/documentManagement/types" xmlns:pc="http://schemas.microsoft.com/office/infopath/2007/PartnerControls" xmlns:xs="http://www.w3.org/2001/XMLSchema" xmlns:xsd="http://www.w3.org/2001/XMLSchema" elementFormDefault="qualified" targetNamespace="http://schemas.microsoft.com/sharepoint/v3">
    <xsd:import namespace="http://schemas.microsoft.com/office/2006/documentManagement/types"/>
    <xsd:import namespace="http://schemas.microsoft.com/office/infopath/2007/PartnerControls"/>
    <xsd:element ma:displayName="Form Data" ma:hidden="true" ma:index="11" ma:internalName="FormData" ma:readOnly="false" name="FormData" nillable="true">
      <xsd:simpleType>
        <xsd:restriction base="dms:Note"/>
      </xsd:simpleType>
    </xsd:element>
  </xsd:schema>
  <xsd:schema xmlns:dms="http://schemas.microsoft.com/office/2006/documentManagement/types" xmlns:pc="http://schemas.microsoft.com/office/infopath/2007/PartnerControls" xmlns:xs="http://www.w3.org/2001/XMLSchema" xmlns:xsd="http://www.w3.org/2001/XMLSchema" elementFormDefault="qualified" targetNamespace="8f50927b-c1aa-46a1-a2e1-538f37d56fc0">
    <xsd:import namespace="http://schemas.microsoft.com/office/2006/documentManagement/types"/>
    <xsd:import namespace="http://schemas.microsoft.com/office/infopath/2007/PartnerControls"/>
    <xsd:element ma:displayName="System ID" ma:index="8" ma:internalName="SystemID" name="SystemID" nillable="true">
      <xsd:simpleType>
        <xsd:restriction base="dms:Text">
          <xsd:maxLength value="255"/>
        </xsd:restriction>
      </xsd:simpleType>
    </xsd:element>
    <xsd:element ma:displayName="Document Type ID" ma:index="9" ma:internalName="DocTypeID" name="DocTypeID" nillable="true">
      <xsd:simpleType>
        <xsd:restriction base="dms:Text">
          <xsd:maxLength value="255"/>
        </xsd:restriction>
      </xsd:simpleType>
    </xsd:element>
  </xsd:schema>
  <xsd:schema xmlns:dms="http://schemas.microsoft.com/office/2006/documentManagement/types" xmlns:pc="http://schemas.microsoft.com/office/infopath/2007/PartnerControls" xmlns:xs="http://www.w3.org/2001/XMLSchema" xmlns:xsd="http://www.w3.org/2001/XMLSchema" elementFormDefault="qualified" targetNamespace="c8f7ef64-a337-4380-87e0-326e9f843981">
    <xsd:import namespace="http://schemas.microsoft.com/office/2006/documentManagement/types"/>
    <xsd:import namespace="http://schemas.microsoft.com/office/infopath/2007/PartnerControls"/>
    <xsd:element ma:displayName="Document Type" ma:index="10" ma:internalName="DocType" name="DocType" nillable="true">
      <xsd:simpleType>
        <xsd:restriction base="dms:Text">
          <xsd:maxLength value="255"/>
        </xsd:restriction>
      </xsd:simpleType>
    </xsd:element>
  </xsd:schema>
  <xsd:schema xmlns="http://schemas.openxmlformats.org/package/2006/metadata/core-properties" xmlns:dc="http://purl.org/dc/elements/1.1/" xmlns:dcterms="http://purl.org/dc/terms/" xmlns:odoc="http://schemas.microsoft.com/internal/obd" xmlns:xsd="http://www.w3.org/2001/XMLSchema" xmlns:xsi="http://www.w3.org/2001/XMLSchema-instance" attributeFormDefault="unqualified" blockDefault="#all"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ma:displayName="Content Type" ma:index="0" maxOccurs="1" minOccurs="0" name="contentType" type="xsd:string"/>
        <xsd:element ma:displayName="Title" ma:index="4" maxOccurs="1" minOccurs="0" ref="dc:title"/>
        <xsd:element maxOccurs="1" minOccurs="0" ref="dc:subject"/>
        <xsd:element maxOccurs="1" minOccurs="0" ref="dc:description"/>
        <xsd:element maxOccurs="1" minOccurs="0" name="keywords" type="xsd:string"/>
        <xsd:element maxOccurs="1" minOccurs="0" ref="dc:language"/>
        <xsd:element maxOccurs="1" minOccurs="0" name="category" type="xsd:string"/>
        <xsd:element maxOccurs="1" minOccurs="0" name="version" type="xsd:string"/>
        <xsd:element maxOccurs="1" minOccurs="0" name="revision" type="xsd:string">
          <xsd:annotation>
            <xsd:documentation>
                        This value indicates the number of saves or revisions. The application is responsible for updating this value after each revision.
                    </xsd:documentation>
          </xsd:annotation>
        </xsd:element>
        <xsd:element maxOccurs="1" minOccurs="0" name="lastModifiedBy" type="xsd:string"/>
        <xsd:element maxOccurs="1" minOccurs="0" ref="dcterms:modified"/>
        <xsd:element maxOccurs="1" minOccurs="0" name="contentStatus" type="xsd:string"/>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10.xml><?xml version="1.0" encoding="utf-8"?>
<p:properties xmlns:p="http://schemas.microsoft.com/office/2006/metadata/properties" xmlns:xsi="http://www.w3.org/2001/XMLSchema-instance" xmlns:pc="http://schemas.microsoft.com/office/infopath/2007/PartnerControls">
  <documentManagement>
    <DocTypeID xmlns="8f50927b-c1aa-46a1-a2e1-538f37d56fc0" xsi:nil="true"/>
    <DocType xmlns="c8f7ef64-a337-4380-87e0-326e9f843981" xsi:nil="true"/>
    <SystemID xmlns="8f50927b-c1aa-46a1-a2e1-538f37d56fc0" xsi:nil="true"/>
    <FormData xmlns="http://schemas.microsoft.com/sharepoint/v3" xsi:nil="true"/>
  </documentManagement>
</p:properties>
</file>

<file path=customXml/item11.xml><?xml version="1.0" encoding="utf-8"?>
<att:attributes xmlns:att="http://www.i4i.com/ns/x4o/attribute-values">
  <element id="6613579" idx="6613579" name="cc:i4iroot">
    <att name="guid" namespace="http://i4i.com/s4ent/core/" readonly="false" value="170B58D8-8BB4-40BF-A4AC-EA033928EFD9"/>
    <att list="" name="permID" namespace="http://i4i.com/s4ent/core/" readonly="false" value="4ECCDC4C-C2ED-459D-967C-4D34E918A428"/>
    <att name="Hidden" namespace="http://i4i.com/s4ent/core/" readonly="false" value=""/>
  </element>
  <element id="6613748" idx="6613748" name="cc:name_section">
    <att name="guid" namespace="http://i4i.com/s4ent/core/" readonly="false" value="CA1431D9-59FB-484A-959E-6A070DEF76CA"/>
    <att list="" name="permID" namespace="http://i4i.com/s4ent/core/" readonly="false" value="E284CD49-6A96-42E9-AF56-060FE6E65CC3"/>
    <att name="Hidden" namespace="http://i4i.com/s4ent/core/" readonly="false" value=""/>
  </element>
  <element id="6613604" idx="6613604" name="st:spc_1">
    <att name="guid" namespace="http://i4i.com/s4ent/core/" readonly="false" value="A7767881-A501-4347-8238-4090755101A7"/>
    <att list="" name="permID" namespace="http://i4i.com/s4ent/core/" readonly="false" value="CE47819C-FBF4-46C8-BF15-15DC81A15E8E"/>
    <att name="Hidden" namespace="http://i4i.com/s4ent/core/" readonly="false" value=""/>
  </element>
  <element id="6613622" idx="6613622" name="cc:qualitative_quantitative_comp">
    <att name="guid" namespace="http://i4i.com/s4ent/core/" readonly="false" value="80C13A26-9F15-4C9C-9146-886FC7218A77"/>
    <att list="" name="permID" namespace="http://i4i.com/s4ent/core/" readonly="false" value="98EB740B-C60A-4A9A-863E-C3BB4455C395"/>
    <att name="Hidden" namespace="http://i4i.com/s4ent/core/" readonly="false" value=""/>
  </element>
  <element id="6613628" idx="6613628" name="st:spc_2">
    <att name="guid" namespace="http://i4i.com/s4ent/core/" readonly="false" value="DADD2009-915C-45E0-B0DD-20862EB6C3BD"/>
    <att list="" name="permID" namespace="http://i4i.com/s4ent/core/" readonly="false" value="C6B3430A-F998-4940-9035-075C2266FB12"/>
    <att name="Hidden" namespace="http://i4i.com/s4ent/core/" readonly="false" value=""/>
  </element>
  <element id="22409882" idx="22409882" name="cc:composition_description_se12">
    <att name="guid" namespace="http://i4i.com/s4ent/core/" readonly="false" value="80AF8FA6-A80C-4F58-AC4F-E89E041D33A2"/>
    <att list="" name="permID" namespace="http://i4i.com/s4ent/core/" readonly="false" value="9890FF42-0337-4990-B4D4-FF20BB7AD447"/>
    <att name="Hidden" namespace="http://i4i.com/s4ent/core/" readonly="false" value=""/>
  </element>
  <element id="22409889" idx="22409889" name="st:spc_21">
    <att name="guid" namespace="http://i4i.com/s4ent/core/" readonly="false" value="503FF9C4-9487-4CBD-9ADC-5F344803DA09"/>
    <att list="" name="permID" namespace="http://i4i.com/s4ent/core/" readonly="false" value="B4CCFF17-C1E3-4B98-B2C9-8AE9544B7B6B"/>
    <att name="Hidden" namespace="http://i4i.com/s4ent/core/" readonly="false" value=""/>
  </element>
  <element id="22409902" idx="22409902" name="co:composition_description_s">
    <att name="guid" namespace="http://i4i.com/s4ent/core/" readonly="false" value="8DA04426-210D-441E-924C-3511356D28CE"/>
    <att list="" name="permID" namespace="http://i4i.com/s4ent/core/" readonly="false" value="9DC4D5E7-F8A7-47F7-9913-B10348647E8E"/>
  </element>
  <element id="106064592" idx="106064592" name="cc:composition_section">
    <att name="guid" namespace="http://i4i.com/s4ent/core/" readonly="false" value="B12EE653-5357-4DB3-8510-528DD3DE8697"/>
    <att list="" name="permID" namespace="http://i4i.com/s4ent/core/" readonly="false" value="140D3F16-5FCB-48BD-99A3-5C5923237523"/>
    <att name="Hidden" namespace="http://i4i.com/s4ent/core/" readonly="false" value=""/>
  </element>
  <element id="106064605" idx="106064605" name="st:spc_22">
    <att name="guid" namespace="http://i4i.com/s4ent/core/" readonly="false" value="36A0E615-4476-4EBE-A166-46C2B9ED8092"/>
    <att list="" name="permID" namespace="http://i4i.com/s4ent/core/" readonly="false" value="4ACC8A77-B72B-41C0-AE65-81B3BBE7FB6E"/>
    <att name="Hidden" namespace="http://i4i.com/s4ent/core/" readonly="false" value=""/>
  </element>
  <element id="106064647" idx="106064647" name="co:composition_other_s">
    <att name="guid" namespace="http://i4i.com/s4ent/core/" readonly="false" value="0087808C-7DD6-4ACE-B0F3-FC20CE3D644D"/>
    <att list="" name="permID" namespace="http://i4i.com/s4ent/core/" readonly="false" value="1C3BFE41-6698-4012-A6ED-706F4E57745A"/>
    <att name="Hidden" namespace="http://i4i.com/s4ent/core/" readonly="false" value=""/>
  </element>
  <element id="6620419" idx="6620419" name="cc:pharmaceutical_form">
    <att name="guid" namespace="http://i4i.com/s4ent/core/" readonly="false" value="BF182252-D463-4761-84F6-76DB141DAD00"/>
    <att list="" name="permID" namespace="http://i4i.com/s4ent/core/" readonly="false" value="15A7EA57-69E6-4190-8BAE-FA9BC9BDDC85"/>
    <att name="Hidden" namespace="http://i4i.com/s4ent/core/" readonly="false" value=""/>
  </element>
  <element id="6620420" idx="6620420" name="st:spc_3">
    <att name="guid" namespace="http://i4i.com/s4ent/core/" readonly="false" value="2F6EF206-B06B-4A7A-B18E-A91A65911BB7"/>
    <att list="" name="permID" namespace="http://i4i.com/s4ent/core/" readonly="false" value="17DD5E11-6F0B-496B-8601-37AABAD87E2F"/>
    <att name="Hidden" namespace="http://i4i.com/s4ent/core/" readonly="false" value=""/>
  </element>
  <element id="6620594" idx="6620594" name="cc:clinical_particulars">
    <att name="guid" namespace="http://i4i.com/s4ent/core/" readonly="false" value="2961650B-7299-40D1-AB79-9FC7B6AF59C4"/>
    <att list="" name="permID" namespace="http://i4i.com/s4ent/core/" readonly="false" value="3097942E-E765-4C42-9E60-D1339733C370"/>
    <att name="Hidden" namespace="http://i4i.com/s4ent/core/" readonly="false" value=""/>
  </element>
  <element id="6620611" idx="6620611" name="st:spc_4">
    <att name="guid" namespace="http://i4i.com/s4ent/core/" readonly="false" value="77557C9D-6A86-4B04-8162-2F77E7C318C4"/>
    <att list="" name="permID" namespace="http://i4i.com/s4ent/core/" readonly="false" value="137167F8-83DA-45BB-ADF9-E54C22C252F0"/>
    <att name="Hidden" namespace="http://i4i.com/s4ent/core/" readonly="false" value=""/>
  </element>
  <element id="106065802" idx="106065802" name="cc:indication_section">
    <att name="guid" namespace="http://i4i.com/s4ent/core/" readonly="false" value="EFC71C17-4D0C-4D8A-A09E-E9B47D91EFE7"/>
    <att list="" name="permID" namespace="http://i4i.com/s4ent/core/" readonly="false" value="D62168E7-C832-4044-86B8-F1FBF4CB1535"/>
    <att name="Hidden" namespace="http://i4i.com/s4ent/core/" readonly="false" value=""/>
  </element>
  <element id="106065836" idx="106065836" name="st:spc_41">
    <att name="guid" namespace="http://i4i.com/s4ent/core/" readonly="false" value="FDDD6AF6-93D5-40BD-AA4F-ADF4C70C183D"/>
    <att list="" name="permID" namespace="http://i4i.com/s4ent/core/" readonly="false" value="768CBF8C-55BF-4E58-A556-2D6EC1E21F6D"/>
    <att name="Hidden" namespace="http://i4i.com/s4ent/core/" readonly="false" value=""/>
  </element>
  <element id="106065806" idx="106065806" name="co:indication_s">
    <att name="guid" namespace="http://i4i.com/s4ent/core/" readonly="false" value="69D98496-C3B1-4564-93CA-E6EF63D70901"/>
    <att list="" name="permID" namespace="http://i4i.com/s4ent/core/" readonly="false" value="AB1D54F9-A43A-4B80-BD7F-96C5CAF888AC"/>
    <att name="Hidden" namespace="http://i4i.com/s4ent/core/" readonly="false" value=""/>
  </element>
  <element id="106065841" idx="106065841" name="cc:posology_section">
    <att name="guid" namespace="http://i4i.com/s4ent/core/" readonly="false" value="7F71E0C7-73FA-4B46-A0ED-B65862F4CC5B"/>
    <att list="" name="permID" namespace="http://i4i.com/s4ent/core/" readonly="false" value="B11BEDFC-E903-45F1-A879-1F67902C8587"/>
    <att name="Hidden" namespace="http://i4i.com/s4ent/core/" readonly="false" value=""/>
  </element>
  <element id="106065848" idx="106065848" name="st:spc_42">
    <att name="guid" namespace="http://i4i.com/s4ent/core/" readonly="false" value="5954BE69-2B89-4762-8DAB-5CE591717893"/>
    <att list="" name="permID" namespace="http://i4i.com/s4ent/core/" readonly="false" value="F6060E7F-9FE4-473F-8FAF-8CD46B0CC777"/>
    <att name="Hidden" namespace="http://i4i.com/s4ent/core/" readonly="false" value=""/>
  </element>
  <element id="106065856" idx="106065856" name="co:posology_administration_s">
    <att name="guid" namespace="http://i4i.com/s4ent/core/" readonly="false" value="B03C0B98-A085-478A-83FE-836B2AE76A4D"/>
    <att list="" name="permID" namespace="http://i4i.com/s4ent/core/" readonly="false" value="F6502706-558D-4987-9A1D-9E35DD5A60FB"/>
    <att name="Hidden" namespace="http://i4i.com/s4ent/core/" readonly="false" value=""/>
  </element>
  <element id="106066106" idx="106066106" name="cc:administration_section">
    <att name="guid" namespace="http://i4i.com/s4ent/core/" readonly="false" value="21863508-7813-4B85-AE0B-162A5F3C3FB8"/>
    <att list="" name="permID" namespace="http://i4i.com/s4ent/core/" readonly="false" value="1DA59715-A1C5-431E-9470-8CD3AE282D0A"/>
    <att name="Hidden" namespace="http://i4i.com/s4ent/core/" readonly="false" value=""/>
  </element>
  <element id="106066107" idx="106066107" name="st:spc_42c">
    <att name="guid" namespace="http://i4i.com/s4ent/core/" readonly="false" value="CAE62703-7927-46BF-9671-171A887D9DB8"/>
    <att list="" name="permID" namespace="http://i4i.com/s4ent/core/" readonly="false" value="F10C08E3-207C-466A-B18E-D0F28B035C27"/>
    <att name="Hidden" namespace="http://i4i.com/s4ent/core/" readonly="false" value=""/>
  </element>
  <element id="106066359" idx="106066359" name="cc:contraindication_section">
    <att name="guid" namespace="http://i4i.com/s4ent/core/" readonly="false" value="6DA540C4-F744-4CFD-94AE-20C21537ACEC"/>
    <att list="" name="permID" namespace="http://i4i.com/s4ent/core/" readonly="false" value="60BF0411-D4AB-4CD3-84C5-462D0306369C"/>
    <att name="Hidden" namespace="http://i4i.com/s4ent/core/" readonly="false" value=""/>
  </element>
  <element id="106066360" idx="106066360" name="st:spc_43">
    <att name="guid" namespace="http://i4i.com/s4ent/core/" readonly="false" value="2DBD6FF9-89E8-468E-9559-A06168D4CCBE"/>
    <att list="" name="permID" namespace="http://i4i.com/s4ent/core/" readonly="false" value="9193A852-D555-4BA4-BE49-A7B504CCBF6F"/>
    <att name="Hidden" namespace="http://i4i.com/s4ent/core/" readonly="false" value=""/>
  </element>
  <element id="106066474" idx="106066474" name="cc:warning_section">
    <att name="guid" namespace="http://i4i.com/s4ent/core/" readonly="false" value="A8E845BC-D353-4BB1-967C-551D4ACE19AF"/>
    <att list="" name="permID" namespace="http://i4i.com/s4ent/core/" readonly="false" value="F5A11F2D-DD2A-4E6C-A1A8-AAB086691C06"/>
    <att name="Hidden" namespace="http://i4i.com/s4ent/core/" readonly="false" value=""/>
  </element>
  <element id="106066475" idx="106066475" name="st:spc_44">
    <att name="guid" namespace="http://i4i.com/s4ent/core/" readonly="false" value="2C921039-C7A0-4BBC-8840-755FECABE3BB"/>
    <att list="" name="permID" namespace="http://i4i.com/s4ent/core/" readonly="false" value="68B3BD84-445F-410B-9265-1A02F357293D"/>
    <att name="Hidden" namespace="http://i4i.com/s4ent/core/" readonly="false" value=""/>
  </element>
  <element id="106066579" idx="106066579" name="cc:interaction_section">
    <att name="guid" namespace="http://i4i.com/s4ent/core/" readonly="false" value="08D0E42A-CFBF-4785-8741-4334163DEEC8"/>
    <att list="" name="permID" namespace="http://i4i.com/s4ent/core/" readonly="false" value="A7AA5F3B-C822-45FA-BD2B-8CA6EBE24928"/>
    <att name="Hidden" namespace="http://i4i.com/s4ent/core/" readonly="false" value=""/>
  </element>
  <element id="106066580" idx="106066580" name="st:spc_45">
    <att name="guid" namespace="http://i4i.com/s4ent/core/" readonly="false" value="7CF8D7B2-396D-4B18-8C85-9D3375FD5097"/>
    <att list="" name="permID" namespace="http://i4i.com/s4ent/core/" readonly="false" value="B48FA7D1-FA1A-49DE-98DD-112758D89955"/>
    <att name="Hidden" namespace="http://i4i.com/s4ent/core/" readonly="false" value=""/>
  </element>
  <element id="106067703" idx="106067703" name="cc:pregnancy_lactation_section">
    <att name="guid" namespace="http://i4i.com/s4ent/core/" readonly="false" value="39EA49A9-4A4E-4EB5-9496-F1EA22935F5C"/>
    <att list="" name="permID" namespace="http://i4i.com/s4ent/core/" readonly="false" value="C31720C7-31FE-4186-B598-D806C1BEB81D"/>
    <att name="Hidden" namespace="http://i4i.com/s4ent/core/" readonly="false" value=""/>
  </element>
  <element id="106067704" idx="106067704" name="st:spc_46">
    <att name="guid" namespace="http://i4i.com/s4ent/core/" readonly="false" value="6ACF5E54-D740-45F5-9779-E50BA7D1EEF4"/>
    <att list="" name="permID" namespace="http://i4i.com/s4ent/core/" readonly="false" value="6BCD57D4-E53B-4E66-AE59-5DFFD11C6A09"/>
    <att name="Hidden" namespace="http://i4i.com/s4ent/core/" readonly="false" value=""/>
  </element>
  <element id="106067705" idx="106067705" name="co:pregnancy_lactation_s">
    <att name="guid" namespace="http://i4i.com/s4ent/core/" readonly="false" value="87158CCC-B7DD-43D9-97D8-EA3DA6DAA6C7"/>
    <att list="" name="permID" namespace="http://i4i.com/s4ent/core/" readonly="false" value="FC8ECFE8-D144-4317-8921-9DD54B0220F4"/>
    <att name="Hidden" namespace="http://i4i.com/s4ent/core/" readonly="false" value=""/>
  </element>
  <element id="106067736" idx="106067736" name="cc:driving_section">
    <att name="guid" namespace="http://i4i.com/s4ent/core/" readonly="false" value="B4C56E40-A9D4-40D6-A5A0-86430F257D7C"/>
    <att list="" name="permID" namespace="http://i4i.com/s4ent/core/" readonly="false" value="C22C7B4C-13E7-43B6-A237-4FC8101061D9"/>
    <att name="Hidden" namespace="http://i4i.com/s4ent/core/" readonly="false" value=""/>
  </element>
  <element id="106067737" idx="106067737" name="st:spc_47">
    <att name="guid" namespace="http://i4i.com/s4ent/core/" readonly="false" value="C5B32B75-61F4-4DC4-A05B-78E147F27359"/>
    <att list="" name="permID" namespace="http://i4i.com/s4ent/core/" readonly="false" value="2C38E29C-B9B0-45C9-95F0-8CB99714AD10"/>
    <att name="Hidden" namespace="http://i4i.com/s4ent/core/" readonly="false" value=""/>
  </element>
  <element id="106067738" idx="106067738" name="co:driving_s">
    <att name="guid" namespace="http://i4i.com/s4ent/core/" readonly="false" value="B3821A37-2A2B-4D2B-A9F0-1BBACCD8DD8B"/>
    <att list="" name="permID" namespace="http://i4i.com/s4ent/core/" readonly="false" value="F68C3BCC-F156-43DB-A098-BA9A86616D6C"/>
    <att name="Hidden" namespace="http://i4i.com/s4ent/core/" readonly="false" value=""/>
  </element>
  <element id="106067772" idx="106067772" name="cc:undesirable_section">
    <att name="guid" namespace="http://i4i.com/s4ent/core/" readonly="false" value="DE56C4E1-C948-494D-8068-EF196B88A67B"/>
    <att list="" name="permID" namespace="http://i4i.com/s4ent/core/" readonly="false" value="E773735E-81B4-4843-9E10-85634208D361"/>
    <att name="Hidden" namespace="http://i4i.com/s4ent/core/" readonly="false" value=""/>
  </element>
  <element id="106067773" idx="106067773" name="st:spc_48">
    <att name="guid" namespace="http://i4i.com/s4ent/core/" readonly="false" value="205BE481-5B31-4807-AA8D-DEE87C2DEB4B"/>
    <att list="" name="permID" namespace="http://i4i.com/s4ent/core/" readonly="false" value="B5993342-2E3E-4CF5-9AA3-202093C59740"/>
    <att name="Hidden" namespace="http://i4i.com/s4ent/core/" readonly="false" value=""/>
  </element>
  <element id="106067811" idx="106067811" name="cc:overdose_section">
    <att name="guid" namespace="http://i4i.com/s4ent/core/" readonly="false" value="DED5962C-735D-402A-9ABB-0A11FA32F101"/>
    <att list="" name="permID" namespace="http://i4i.com/s4ent/core/" readonly="false" value="C6FEFE87-AC29-4676-8EC5-696971B2B9A6"/>
    <att name="Hidden" namespace="http://i4i.com/s4ent/core/" readonly="false" value=""/>
  </element>
  <element id="106067812" idx="106067812" name="st:spc_49">
    <att name="guid" namespace="http://i4i.com/s4ent/core/" readonly="false" value="D9C21CD8-B237-42F6-BE16-C13AC89ACDD1"/>
    <att list="" name="permID" namespace="http://i4i.com/s4ent/core/" readonly="false" value="0096EE5A-82FC-4CBB-8DA3-F8FAFA982961"/>
    <att name="Hidden" namespace="http://i4i.com/s4ent/core/" readonly="false" value=""/>
  </element>
  <element id="106069213" idx="106069213" name="cc:pharmacological_properties50">
    <att name="guid" namespace="http://i4i.com/s4ent/core/" readonly="false" value="696E6F5D-8B6A-4493-8322-865D03993322"/>
    <att list="" name="permID" namespace="http://i4i.com/s4ent/core/" readonly="false" value="F7ED615B-D1B8-4970-BAC4-492352D1EAB3"/>
    <att name="Hidden" namespace="http://i4i.com/s4ent/core/" readonly="false" value=""/>
  </element>
  <element id="106069658" idx="106069658" name="st:spc_5">
    <att name="guid" namespace="http://i4i.com/s4ent/core/" readonly="false" value="E50A8375-CF45-4FA1-88FB-4EC095CC5568"/>
    <att list="" name="permID" namespace="http://i4i.com/s4ent/core/" readonly="false" value="1CA19B1B-2BAC-435A-9DAA-08D013DBAB11"/>
    <att name="Hidden" namespace="http://i4i.com/s4ent/core/" readonly="false" value=""/>
  </element>
  <element id="106069662" idx="106069662" name="cc:pharmacodynamic_properties51">
    <att name="guid" namespace="http://i4i.com/s4ent/core/" readonly="false" value="1131A610-1035-435F-BAE4-F3987E32F67C"/>
    <att list="" name="permID" namespace="http://i4i.com/s4ent/core/" readonly="false" value="42AE3926-F317-4B2D-B7FA-3C94644573A4"/>
    <att name="Hidden" namespace="http://i4i.com/s4ent/core/" readonly="false" value=""/>
  </element>
  <element id="106069666" idx="106069666" name="st:spc_51">
    <att name="guid" namespace="http://i4i.com/s4ent/core/" readonly="false" value="F4947591-83DC-4ACF-BDAA-625C1F9FC14B"/>
    <att list="" name="permID" namespace="http://i4i.com/s4ent/core/" readonly="false" value="D78A85A8-B497-4B1A-80AF-D1AD9324A94A"/>
    <att name="Hidden" namespace="http://i4i.com/s4ent/core/" readonly="false" value=""/>
  </element>
  <element id="176023936" idx="176023936" name="st:spc_51a">
    <att name="guid" namespace="http://i4i.com/s4ent/core/" readonly="false" value="E89CC538-80D9-4A95-9AAE-599850900385"/>
    <att list="" name="permID" namespace="http://i4i.com/s4ent/core/" readonly="false" value="F04F1AE6-863B-4AED-8B57-5D08CE176F86"/>
    <att name="Hidden" namespace="http://i4i.com/s4ent/core/" readonly="false" value=""/>
  </element>
  <element id="106069670" idx="106069670" name="co:pharmacodynamic_s">
    <att name="guid" namespace="http://i4i.com/s4ent/core/" readonly="false" value="9883C563-44BE-4E7E-9DCF-6ACDF5140C86"/>
    <att list="" name="permID" namespace="http://i4i.com/s4ent/core/" readonly="false" value="E29401B9-4F65-4F6F-BE9D-75F15D157B3F"/>
    <att name="Hidden" namespace="http://i4i.com/s4ent/core/" readonly="false" value=""/>
  </element>
  <element id="176018413" idx="176018413" name="cc:pharmacokinetic_section">
    <att name="guid" namespace="http://i4i.com/s4ent/core/" readonly="false" value="A6E97ADA-704A-433A-A57C-73CC64434243"/>
    <att list="" name="permID" namespace="http://i4i.com/s4ent/core/" readonly="false" value="CE490C53-60C0-43EA-8815-CE366C935560"/>
  </element>
  <element id="176018391" idx="176018391" name="st:spc_52">
    <att name="guid" namespace="http://i4i.com/s4ent/core/" readonly="false" value="4CCD55E2-4DDD-4C08-8F93-82AE11789732"/>
    <att list="" name="permID" namespace="http://i4i.com/s4ent/core/" readonly="false" value="FAE9BFE9-BB91-4A80-95C7-3727D6FCBDE1"/>
  </element>
  <element id="176018427" idx="176018427" name="co:pharmacokinetic_s">
    <att name="guid" namespace="http://i4i.com/s4ent/core/" readonly="false" value="3842170E-E8C3-4F66-AA59-1E8F8BF9F12F"/>
    <att list="" name="permID" namespace="http://i4i.com/s4ent/core/" readonly="false" value="44A894AF-1C6E-4F46-9CF8-AA1C019B1DFE"/>
  </element>
  <element id="176018492" idx="176018492" name="cc:preclinical_safety_section">
    <att name="guid" namespace="http://i4i.com/s4ent/core/" readonly="false" value="40A0486A-DEB3-419D-9C2E-B2487B75CD37"/>
    <att list="" name="permID" namespace="http://i4i.com/s4ent/core/" readonly="false" value="13194292-9E06-4B9B-A962-C4A3657C56B2"/>
  </element>
  <element id="176018450" idx="176018450" name="st:spc_53">
    <att name="guid" namespace="http://i4i.com/s4ent/core/" readonly="false" value="23FBDA4C-3BF0-4D51-97FA-52685B144EE6"/>
    <att list="" name="permID" namespace="http://i4i.com/s4ent/core/" readonly="false" value="D1B2EAAB-37E9-4DA9-8276-8139465F2144"/>
  </element>
  <element id="176018519" idx="176018519" name="co:preclinical_safety_s">
    <att name="guid" namespace="http://i4i.com/s4ent/core/" readonly="false" value="9531A244-8F12-4732-A971-A75FBC159973"/>
    <att list="" name="permID" namespace="http://i4i.com/s4ent/core/" readonly="false" value="F14424CA-1B98-43C6-ACF9-D3D0DEB68E37"/>
  </element>
  <element id="106069787" idx="106069787" name="cc:pharmaceutical_particulars62">
    <att name="guid" namespace="http://i4i.com/s4ent/core/" readonly="false" value="7F5CB07C-BE25-426C-97A1-BD9F023A6610"/>
    <att list="" name="permID" namespace="http://i4i.com/s4ent/core/" readonly="false" value="9794CEE8-B5D2-4C14-AF2C-2C9E1ED1F139"/>
    <att name="Hidden" namespace="http://i4i.com/s4ent/core/" readonly="false" value=""/>
  </element>
  <element id="176018530" idx="176018530" name="st:spc_6">
    <att name="guid" namespace="http://i4i.com/s4ent/core/" readonly="false" value="C40F7D3C-BDF1-4979-B306-ECCEEF71E4E7"/>
    <att list="" name="permID" namespace="http://i4i.com/s4ent/core/" readonly="false" value="1C335245-C8D1-4C6C-BF5F-194A00EC7E97"/>
    <att name="Hidden" namespace="http://i4i.com/s4ent/core/" readonly="false" value=""/>
  </element>
  <element id="176018545" idx="176018545" name="cc:excipient_section">
    <att name="guid" namespace="http://i4i.com/s4ent/core/" readonly="false" value="42C13324-3A9B-4455-94D0-CF7B67250B6C"/>
    <att list="" name="permID" namespace="http://i4i.com/s4ent/core/" readonly="false" value="FE9A52F9-2C5C-4319-8DD3-7B7FAE5C23E5"/>
    <att name="Hidden" namespace="http://i4i.com/s4ent/core/" readonly="false" value=""/>
  </element>
  <element id="176018536" idx="176018536" name="st:spc_61">
    <att name="guid" namespace="http://i4i.com/s4ent/core/" readonly="false" value="E8584DD1-B277-4DBA-82F4-79582737088B"/>
    <att list="" name="permID" namespace="http://i4i.com/s4ent/core/" readonly="false" value="25F43D95-A380-4578-B53F-3A13CB1B97E1"/>
    <att name="Hidden" namespace="http://i4i.com/s4ent/core/" readonly="false" value=""/>
  </element>
  <element id="176018551" idx="176018551" name="co:excipient_all_s">
    <att name="guid" namespace="http://i4i.com/s4ent/core/" readonly="false" value="3D8F79F3-94DC-4B01-8F73-2FAEC913E370"/>
    <att list="" name="permID" namespace="http://i4i.com/s4ent/core/" readonly="false" value="3796542D-9016-4A66-A70E-5F17943BA607"/>
    <att name="Hidden" namespace="http://i4i.com/s4ent/core/" readonly="false" value=""/>
  </element>
  <element id="176018581" idx="176018581" name="cc:incompatibility_section">
    <att name="guid" namespace="http://i4i.com/s4ent/core/" readonly="false" value="C64DD2D0-C400-4A03-8D57-6EA4AEBF20D0"/>
    <att list="" name="permID" namespace="http://i4i.com/s4ent/core/" readonly="false" value="1EB25F97-9B1B-4D6C-83E4-D8F52D45A0E0"/>
    <att name="Hidden" namespace="http://i4i.com/s4ent/core/" readonly="false" value=""/>
  </element>
  <element id="176018569" idx="176018569" name="st:spc_62">
    <att name="guid" namespace="http://i4i.com/s4ent/core/" readonly="false" value="6C8B50F2-36BD-42DD-B00E-A46B23286CC7"/>
    <att list="" name="permID" namespace="http://i4i.com/s4ent/core/" readonly="false" value="ABCBF2DD-04F2-4141-8B1C-7C5648744E24"/>
    <att name="Hidden" namespace="http://i4i.com/s4ent/core/" readonly="false" value=""/>
  </element>
  <element id="176018590" idx="176018590" name="co:incompatibility_s">
    <att name="guid" namespace="http://i4i.com/s4ent/core/" readonly="false" value="466D92C3-A95C-4225-A177-BC9EE6E7AC4B"/>
    <att list="" name="permID" namespace="http://i4i.com/s4ent/core/" readonly="false" value="518C3962-9A02-432B-ACFA-18066D7A5B88"/>
    <att name="Hidden" namespace="http://i4i.com/s4ent/core/" readonly="false" value=""/>
  </element>
  <element id="176018620" idx="176018620" name="cc:shelf_life_section">
    <att name="guid" namespace="http://i4i.com/s4ent/core/" readonly="false" value="11230D5D-C782-4FB4-B2A6-F453CF444B34"/>
    <att list="" name="permID" namespace="http://i4i.com/s4ent/core/" readonly="false" value="49B1DFD3-7821-4514-BABF-CFCCBF400CD3"/>
    <att name="Hidden" namespace="http://i4i.com/s4ent/core/" readonly="false" value=""/>
  </element>
  <element id="176018630" idx="176018630" name="st:spc_63">
    <att name="guid" namespace="http://i4i.com/s4ent/core/" readonly="false" value="ECEA6E6C-BE4C-41C0-AA6C-F299E335E397"/>
    <att list="" name="permID" namespace="http://i4i.com/s4ent/core/" readonly="false" value="5BABB171-0015-4AF2-B14C-97E556BF612A"/>
    <att name="Hidden" namespace="http://i4i.com/s4ent/core/" readonly="false" value=""/>
  </element>
  <element id="176018920" idx="176018920" name="cc:storage_section">
    <att name="guid" namespace="http://i4i.com/s4ent/core/" readonly="false" value="5A05048A-F317-4EE8-9BA8-C8DD4D63C26A"/>
    <att list="" name="permID" namespace="http://i4i.com/s4ent/core/" readonly="false" value="402FB0C0-3496-47B0-B8FE-1C4E2FC3C021"/>
    <att name="Hidden" namespace="http://i4i.com/s4ent/core/" readonly="false" value=""/>
  </element>
  <element id="176018937" idx="176018937" name="st:spc_64">
    <att name="guid" namespace="http://i4i.com/s4ent/core/" readonly="false" value="433A2658-E71D-408E-944A-9EA8DCFB215C"/>
    <att list="" name="permID" namespace="http://i4i.com/s4ent/core/" readonly="false" value="D2A5BE90-92EF-4216-B2AA-F84831CD7DB2"/>
    <att name="Hidden" namespace="http://i4i.com/s4ent/core/" readonly="false" value=""/>
  </element>
  <element id="176018980" idx="176018980" name="cc:container_section">
    <att name="guid" namespace="http://i4i.com/s4ent/core/" readonly="false" value="BCB69186-5E87-447B-B4DA-A31602F52E6C"/>
    <att list="" name="permID" namespace="http://i4i.com/s4ent/core/" readonly="false" value="E137B3B9-A6A1-4840-AE4D-704DD5771560"/>
    <att name="Hidden" namespace="http://i4i.com/s4ent/core/" readonly="false" value=""/>
  </element>
  <element id="176018981" idx="176018981" name="st:spc_65">
    <att name="guid" namespace="http://i4i.com/s4ent/core/" readonly="false" value="F84E4DE2-EA0B-4433-B715-2A5302B48211"/>
    <att list="" name="permID" namespace="http://i4i.com/s4ent/core/" readonly="false" value="42BE9A1F-7402-416A-A56B-B3A8D2FDF751"/>
    <att name="Hidden" namespace="http://i4i.com/s4ent/core/" readonly="false" value=""/>
  </element>
  <element id="176018985" idx="176018985" name="co:container_s">
    <att name="guid" namespace="http://i4i.com/s4ent/core/" readonly="false" value="DAAC38BC-B5E8-4C56-AE8B-8819D6B33914"/>
    <att list="" name="permID" namespace="http://i4i.com/s4ent/core/" readonly="false" value="70C29C5F-2783-4291-8492-AF46EFB07B32"/>
    <att name="Hidden" namespace="http://i4i.com/s4ent/core/" readonly="false" value=""/>
  </element>
  <element id="176019064" idx="176019064" name="cc:disposal_section">
    <att name="guid" namespace="http://i4i.com/s4ent/core/" readonly="false" value="371A867B-2B5B-4FDE-ABDB-FA5C47FAD2DB"/>
    <att list="" name="permID" namespace="http://i4i.com/s4ent/core/" readonly="false" value="F820B4A9-C63C-44F0-B226-889B5B6F132A"/>
    <att name="Hidden" namespace="http://i4i.com/s4ent/core/" readonly="false" value=""/>
  </element>
  <element id="176019202" idx="176019202" name="cc:holder_section">
    <att name="guid" namespace="http://i4i.com/s4ent/core/" readonly="false" value="5F4F9F9C-824E-406D-ADD8-BEA7A20786F9"/>
    <att list="" name="permID" namespace="http://i4i.com/s4ent/core/" readonly="false" value="A1F2A838-22A8-401E-AAC7-E5E7636EB145"/>
    <att name="Hidden" namespace="http://i4i.com/s4ent/core/" readonly="false" value=""/>
  </element>
  <element id="176019203" idx="176019203" name="st:spc_7">
    <att name="guid" namespace="http://i4i.com/s4ent/core/" readonly="false" value="2D4EECF5-EB48-4123-968D-F36D60945182"/>
    <att list="" name="permID" namespace="http://i4i.com/s4ent/core/" readonly="false" value="B51FE9D1-AE1B-49C4-8224-74A6B7DD3A99"/>
    <att name="Hidden" namespace="http://i4i.com/s4ent/core/" readonly="false" value=""/>
  </element>
  <element id="176019326" idx="176019326" name="co:holder_s">
    <att name="guid" namespace="http://i4i.com/s4ent/core/" readonly="false" value="91FFD0BD-7698-40C7-A8ED-1E13757E9B34"/>
    <att list="" name="permID" namespace="http://i4i.com/s4ent/core/" readonly="false" value="2C073794-7505-4A72-BEBF-F83E75FC7965"/>
  </element>
  <element id="176019815" idx="176019815" name="cc:registration_section">
    <att name="guid" namespace="http://i4i.com/s4ent/core/" readonly="false" value="40F1B6A5-860E-4063-A612-FFC679B68D09"/>
    <att list="" name="permID" namespace="http://i4i.com/s4ent/core/" readonly="false" value="429E8B1C-2F3A-400C-B64C-2E7C8233EA1C"/>
    <att name="Hidden" namespace="http://i4i.com/s4ent/core/" readonly="false" value=""/>
  </element>
  <element id="176019946" idx="176019946" name="st:spc_8">
    <att name="guid" namespace="http://i4i.com/s4ent/core/" readonly="false" value="8C859CF9-155E-4DA2-9446-6ADDB6152EC9"/>
    <att list="" name="permID" namespace="http://i4i.com/s4ent/core/" readonly="false" value="9183814A-1DB2-4960-B1D0-3C30785C1C62"/>
    <att name="Hidden" namespace="http://i4i.com/s4ent/core/" readonly="false" value=""/>
  </element>
  <element id="176020075" idx="176020075" name="cc:authorisation_section">
    <att name="guid" namespace="http://i4i.com/s4ent/core/" readonly="false" value="86D63BAC-EBDF-4401-B519-71E2895133D7"/>
    <att list="" name="permID" namespace="http://i4i.com/s4ent/core/" readonly="false" value="C928E7D5-C504-4D07-A732-867A422E1ED0"/>
    <att name="Hidden" namespace="http://i4i.com/s4ent/core/" readonly="false" value=""/>
  </element>
  <element id="176020200" idx="176020200" name="st:spc_9">
    <att name="guid" namespace="http://i4i.com/s4ent/core/" readonly="false" value="76E12560-3991-4ACD-8E45-DB8F817F4743"/>
    <att list="" name="permID" namespace="http://i4i.com/s4ent/core/" readonly="false" value="5AA8FD68-9746-48B9-BB6B-642441940996"/>
    <att name="Hidden" namespace="http://i4i.com/s4ent/core/" readonly="false" value=""/>
  </element>
  <element id="176020335" idx="176020335" name="cc:revision_section">
    <att name="guid" namespace="http://i4i.com/s4ent/core/" readonly="false" value="4BE3F31A-59E5-4754-8F01-654060CF0968"/>
    <att list="" name="permID" namespace="http://i4i.com/s4ent/core/" readonly="false" value="AEC52177-171E-49CD-A873-556D0860ABB7"/>
    <att name="Hidden" namespace="http://i4i.com/s4ent/core/" readonly="false" value=""/>
  </element>
  <element id="176020464" idx="176020464" name="st:spc_10">
    <att name="guid" namespace="http://i4i.com/s4ent/core/" readonly="false" value="2BF674B2-57C8-4A3B-B933-147A3D94D69D"/>
    <att list="" name="permID" namespace="http://i4i.com/s4ent/core/" readonly="false" value="279B7B3B-3344-4015-8B17-EB816206AAA5"/>
    <att name="Hidden" namespace="http://i4i.com/s4ent/core/" readonly="false" value=""/>
  </element>
  <element id="1208297951" idx="1208297951" name="st:hypersensitivity">
    <att name="guid" namespace="http://i4i.com/s4ent/core/" readonly="false" value="9B9D3EC3-3C65-4E2C-83AA-5E8A1A9C4BDF"/>
    <att list="" name="permID" namespace="http://i4i.com/s4ent/core/" readonly="false" value="C4F83AFF-43DE-4B3C-9DDB-42AF9DB396FB"/>
    <att name="Hidden" namespace="http://i4i.com/s4ent/core/" readonly="false" value=""/>
  </element>
  <element id="1947738299" idx="1947738299" name="co:contraindications_body">
    <att name="guid" namespace="http://i4i.com/s4ent/core/" readonly="false" value="E289221B-ED56-4266-BEC4-10D29E56686A"/>
    <att list="" name="permID" namespace="http://i4i.com/s4ent/core/" readonly="false" value="19BB875D-C4E8-4DCC-99A2-024F21C9ED81"/>
    <att name="Hidden" namespace="http://i4i.com/s4ent/core/" readonly="false" value=""/>
  </element>
  <element id="3040768039" idx="-1254199257" name="cc:pregnancy">
    <att name="guid" namespace="http://i4i.com/s4ent/core/" readonly="false" value="204E2278-CC14-4306-99E5-C2F92643CF1D"/>
    <att list="" name="permID" namespace="http://i4i.com/s4ent/core/" readonly="false" value="C4BD6A2B-81D3-4B2B-A751-9038A5C034AD"/>
    <att name="Hidden" namespace="http://i4i.com/s4ent/core/" readonly="false" value=""/>
  </element>
  <element id="52129807" idx="52129807" name="co:pregnancy_body">
    <att name="guid" namespace="http://i4i.com/s4ent/core/" readonly="false" value="AD7DF0E5-4E46-4110-9422-DB6A159CE7C0"/>
    <att list="" name="permID" namespace="http://i4i.com/s4ent/core/" readonly="false" value="D201EF39-ECEC-429E-8192-C032B1B67D7B"/>
  </element>
  <element id="300734896" idx="300734896" name="cc:fertility">
    <att name="guid" namespace="http://i4i.com/s4ent/core/" readonly="false" value="E3FFA024-A26A-4E9F-AD5E-F7376FE40A03"/>
    <att list="" name="permID" namespace="http://i4i.com/s4ent/core/" readonly="false" value="AA947F60-5D90-4DA3-A713-59BBB0F064D5"/>
    <att name="Hidden" namespace="http://i4i.com/s4ent/core/" readonly="false" value=""/>
  </element>
  <element id="3790833315" idx="-504133981" name="st:fertility_heading">
    <att name="guid" namespace="http://i4i.com/s4ent/core/" readonly="false" value="F4969551-3035-4BB6-A168-10A5D63F9E01"/>
    <att list="" name="permID" namespace="http://i4i.com/s4ent/core/" readonly="false" value="E3456830-4212-4DB6-ACC9-64AD74C85482"/>
    <att name="Hidden" namespace="http://i4i.com/s4ent/core/" readonly="false" value=""/>
  </element>
  <element id="529453722" idx="529453722" name="co:fertility_body">
    <att name="guid" namespace="http://i4i.com/s4ent/core/" readonly="false" value="24BC70F2-8909-4703-9987-0A0EAD8DD3DC"/>
    <att list="" name="permID" namespace="http://i4i.com/s4ent/core/" readonly="false" value="7728D774-FD11-4A7D-A13B-D8E68CC17F81"/>
  </element>
  <element id="649794329" idx="649794329" name="st:reporting_adverse_effects">
    <att name="guid" namespace="http://i4i.com/s4ent/core/" readonly="false" value="57FFC152-B310-4B7A-BE8E-A37CF988B596"/>
    <att list="" name="permID" namespace="http://i4i.com/s4ent/core/" readonly="false" value="D6422934-4FE1-4F21-A12F-675D4ADE0367"/>
    <att name="Hidden" namespace="http://i4i.com/s4ent/core/" readonly="false" value=""/>
  </element>
  <element id="1701896931" idx="1701896931" name="st:reporting_effects_statement">
    <att name="guid" namespace="http://i4i.com/s4ent/core/" readonly="false" value="5985088F-516B-48EC-9EF6-BCE90D56DF03"/>
    <att list="" name="permID" namespace="http://i4i.com/s4ent/core/" readonly="false" value="FDDBA34A-D1C4-4B6A-8612-9139B55BDB84"/>
    <att name="Hidden" namespace="http://i4i.com/s4ent/core/" readonly="false" value=""/>
  </element>
  <element id="3775275218" idx="-519692078" name="co:storage_body">
    <att name="guid" namespace="http://i4i.com/s4ent/core/" readonly="false" value="92556176-9960-48D9-B30C-DA762E41640E"/>
    <att list="" name="permID" namespace="http://i4i.com/s4ent/core/" readonly="false" value="56389F55-F78B-4C75-9486-87B45C7315E5"/>
    <att name="Hidden" namespace="http://i4i.com/s4ent/core/" readonly="false" value=""/>
  </element>
  <element id="247622788" idx="247622788" name="co:statement_of_identity_body">
    <att list="" name="permID" namespace="http://i4i.com/s4ent/core/" readonly="false" value="A85C444C-E0DC-409F-A322-244BF75A1ED1"/>
    <att list="" name="guid" namespace="http://i4i.com/s4ent/core/" readonly="false" value="BFF475CB-54FD-4B2A-AD62-316478AFC3B8"/>
  </element>
  <element id="3975384031" idx="-319583265" name="co:qual_composition_body">
    <att list="" name="permID" namespace="http://i4i.com/s4ent/core/" readonly="false" value="4B798A50-3E46-4D63-B304-8C4241643C91"/>
    <att list="" name="guid" namespace="http://i4i.com/s4ent/core/" readonly="false" value="30BFF7B4-3454-466B-A5F7-04B7DAB57DC4"/>
  </element>
  <element id="2670507122" idx="-1624460174" name="cc:excipients">
    <att list="" name="permID" namespace="http://i4i.com/s4ent/core/" readonly="false" value="9B8DAB31-DCD7-454D-A2EA-8BFACCC211EC"/>
    <att name="Hidden" namespace="http://i4i.com/s4ent/core/" readonly="false" value=""/>
    <att list="" name="guid" namespace="http://i4i.com/s4ent/core/" readonly="false" value="41F9ADE3-B9B2-4877-8466-7A112D754D49"/>
  </element>
  <element id="1872798020" idx="1872798020" name="co:excipient_body">
    <att list="" name="permID" namespace="http://i4i.com/s4ent/core/" readonly="false" value="9C41EF5D-05FD-46ED-9A4E-7965D2887A5F"/>
    <att name="Hidden" namespace="http://i4i.com/s4ent/core/" readonly="false" value=""/>
    <att list="" name="guid" namespace="http://i4i.com/s4ent/core/" readonly="false" value="2A180133-4574-4B6F-AE0A-DE00DF4FC4DA"/>
  </element>
  <element id="677860247" idx="677860247" name="co:dosage_form_body">
    <att list="" name="permID" namespace="http://i4i.com/s4ent/core/" readonly="false" value="8C8D9F4D-DA12-43CE-B84D-0686D828D9A6"/>
    <att name="Hidden" namespace="http://i4i.com/s4ent/core/" readonly="false" value=""/>
    <att list="" name="guid" namespace="http://i4i.com/s4ent/core/" readonly="false" value="871B3AF4-50C7-445B-80F6-E13B1F4D0E13"/>
  </element>
  <element id="2954122284" idx="-1340845012" name="co:method_of_admin_body">
    <att list="" name="permID" namespace="http://i4i.com/s4ent/core/" readonly="false" value="52F0FC15-B9DB-4AAD-98F8-8578E1B1941E"/>
    <att name="Hidden" namespace="http://i4i.com/s4ent/core/" readonly="false" value=""/>
    <att name="guid" namespace="http://i4i.com/s4ent/core/" readonly="false" value="3939D4F1-0032-47B6-B4AF-C2D18EDE9D49"/>
  </element>
  <element id="3405323713" idx="-889643583" name="co:warnings_precautions_body">
    <att list="" name="permID" namespace="http://i4i.com/s4ent/core/" readonly="false" value="5AA7D64E-66F6-47A6-A7F6-7BD7187FAF16"/>
    <att list="" name="guid" namespace="http://i4i.com/s4ent/core/" readonly="false" value="A3CD73D7-A802-4492-9787-7C74CC0D380B"/>
  </element>
  <element id="646719223" idx="646719223" name="co:interactions_body">
    <att list="" name="permID" namespace="http://i4i.com/s4ent/core/" readonly="false" value="D855844E-287F-46BA-A89D-5C20864C2703"/>
    <att name="Hidden" namespace="http://i4i.com/s4ent/core/" readonly="false" value=""/>
    <att list="" name="guid" namespace="http://i4i.com/s4ent/core/" readonly="false" value="9363AD45-4E56-405C-A799-BD3950E09679"/>
  </element>
  <element id="1279681105" idx="1279681105" name="co:undesirable_effects">
    <att list="" name="permID" namespace="http://i4i.com/s4ent/core/" readonly="false" value="4CF72DA6-FF5C-4D4E-871C-41C6664043A5"/>
    <att name="Hidden" namespace="http://i4i.com/s4ent/core/" readonly="false" value=""/>
    <att list="" name="guid" namespace="http://i4i.com/s4ent/core/" readonly="false" value="58B36580-9924-4399-99CC-5913B920D2EE"/>
  </element>
  <element id="2724943161" idx="-1570024135" name="cc:reporting_effects">
    <att list="" name="permID" namespace="http://i4i.com/s4ent/core/" readonly="false" value="BFF849E2-9CF7-4F9B-8D0A-9CFA2EE1E2A9"/>
    <att name="Hidden" namespace="http://i4i.com/s4ent/core/" readonly="false" value=""/>
    <att list="" name="guid" namespace="http://i4i.com/s4ent/core/" readonly="false" value="AC1C3C00-258C-4D6E-8283-048172C3F1EA"/>
  </element>
  <element id="3742196294" idx="-552771002" name="co:overdose_body">
    <att list="" name="permID" namespace="http://i4i.com/s4ent/core/" readonly="false" value="502B2BB0-21F6-45B2-9A8D-CF323C5323F9"/>
    <att name="Hidden" namespace="http://i4i.com/s4ent/core/" readonly="false" value=""/>
    <att list="" name="guid" namespace="http://i4i.com/s4ent/core/" readonly="false" value="027518FD-67F2-4FBD-B646-C7FDC270009B"/>
  </element>
  <element id="388924385" idx="388924385" name="st:spc_51a">
    <att list="" name="permID" namespace="http://i4i.com/s4ent/core/" readonly="false" value="F1D4ED88-9228-44BE-8B1A-651BF8694114"/>
    <att name="Hidden" namespace="http://i4i.com/s4ent/core/" readonly="false" value=""/>
    <att list="" name="guid" namespace="http://i4i.com/s4ent/core/" readonly="false" value="2DA3CB6E-3453-4E72-B85A-9D297A24D069"/>
  </element>
  <element id="4055719023" idx="-239248273" name="st:spc_51b">
    <att list="" name="permID" namespace="http://i4i.com/s4ent/core/" readonly="false" value="88DC3CE8-5B28-465C-8C87-219E1D22C21E"/>
    <att name="Hidden" namespace="http://i4i.com/s4ent/core/" readonly="false" value=""/>
    <att list="" name="guid" namespace="http://i4i.com/s4ent/core/" readonly="false" value="FEA02AF8-A747-49A9-9661-3E52066E915C"/>
  </element>
  <element id="97922877" idx="97922877" name="co:atc_code">
    <att list="" name="permID" namespace="http://i4i.com/s4ent/core/" readonly="false" value="55529BF9-5C1F-45A3-BFB8-F3607FA73A2D"/>
    <att name="Hidden" namespace="http://i4i.com/s4ent/core/" readonly="false" value=""/>
    <att list="" name="guid" namespace="http://i4i.com/s4ent/core/" readonly="false" value="71CE7389-B712-462C-ABD9-A138C133130F"/>
  </element>
  <element id="1390694303" idx="1390694303" name="cc:mechanism_action">
    <att list="" name="permID" namespace="http://i4i.com/s4ent/core/" readonly="false" value="CDAF03DC-4D34-4561-893E-D6E313DDB867"/>
    <att name="Hidden" namespace="http://i4i.com/s4ent/core/" readonly="false" value=""/>
    <att list="" name="guid" namespace="http://i4i.com/s4ent/core/" readonly="false" value="99CDB267-416F-467A-BCB3-CAA071406D0C"/>
  </element>
  <element id="1580782554" idx="1580782554" name="co:mechanism_action_body">
    <att list="" name="permID" namespace="http://i4i.com/s4ent/core/" readonly="false" value="CCF57B5B-3E60-4DA4-BA05-347A4346CC80"/>
    <att list="" name="guid" namespace="http://i4i.com/s4ent/core/" readonly="false" value="85FA6D82-DF96-4AD3-B11B-AF4A6543E20D"/>
  </element>
  <element id="2142302206" idx="2142302206" name="cc:pharmacodynamics">
    <att list="" name="permID" namespace="http://i4i.com/s4ent/core/" readonly="false" value="C46D22AB-2608-4885-B718-3C1E9ABFDD21"/>
    <att name="Hidden" namespace="http://i4i.com/s4ent/core/" readonly="false" value=""/>
    <att list="" name="guid" namespace="http://i4i.com/s4ent/core/" readonly="false" value="3F699FC0-C387-4A98-A4AE-9C3878DC0563"/>
  </element>
  <element id="2868238581" idx="-1426728715" name="st:spc_51_pharmaco">
    <att list="" name="permID" namespace="http://i4i.com/s4ent/core/" readonly="false" value="13C43DAA-29E9-423B-824E-151EB3C5BB15"/>
    <att name="Hidden" namespace="http://i4i.com/s4ent/core/" readonly="false" value=""/>
    <att list="" name="guid" namespace="http://i4i.com/s4ent/core/" readonly="false" value="A9137DD3-F46F-4B00-A024-2005A9C165EC"/>
  </element>
  <element id="433024146" idx="433024146" name="co:pharmacodynamic_body">
    <att list="" name="permID" namespace="http://i4i.com/s4ent/core/" readonly="false" value="C0CA8B5E-AA01-4E60-AF33-EB6983A4AC73"/>
    <att list="" name="guid" namespace="http://i4i.com/s4ent/core/" readonly="false" value="23E4DE85-7A92-4C88-B4E7-BDB07ADB353E"/>
  </element>
  <element id="632449941" idx="632449941" name="cc:clinical_studies">
    <att list="" name="permID" namespace="http://i4i.com/s4ent/core/" readonly="false" value="EBA28729-BC91-4C08-A71B-3CD148B7A290"/>
    <att name="Hidden" namespace="http://i4i.com/s4ent/core/" readonly="false" value=""/>
    <att list="" name="guid" namespace="http://i4i.com/s4ent/core/" readonly="false" value="833EA43B-A11C-4157-BA8C-7895C9425050"/>
  </element>
  <element id="4101509138" idx="-193458158" name="st:spc_51_clin">
    <att list="" name="permID" namespace="http://i4i.com/s4ent/core/" readonly="false" value="8730C443-9BB3-433E-8EF0-F53E777898AF"/>
    <att name="Hidden" namespace="http://i4i.com/s4ent/core/" readonly="false" value=""/>
    <att list="" name="guid" namespace="http://i4i.com/s4ent/core/" readonly="false" value="D1912299-59B9-41E3-B7AF-1E6F560D2F4C"/>
  </element>
  <element id="2246828158" idx="-2048139138" name="co:efficacy_safety_body">
    <att list="" name="permID" namespace="http://i4i.com/s4ent/core/" readonly="false" value="239A4E45-21C7-49B8-A6BA-E441D7595938"/>
    <att list="" name="guid" namespace="http://i4i.com/s4ent/core/" readonly="false" value="E45663C5-52F6-4FCB-A49D-40976E8EFEF0"/>
  </element>
  <element id="3914568621" idx="-380398675" name="cc:absorption">
    <att list="" name="permID" namespace="http://i4i.com/s4ent/core/" readonly="false" value="C7534D0F-5D4D-4E9D-B4D4-723FAB8D3C01"/>
    <att list="" name="guid" namespace="http://i4i.com/s4ent/core/" readonly="false" value="D4939C0F-C5CE-478C-9E09-D8ED2FAB7F87"/>
  </element>
  <element id="3179681434" idx="-1115285862" name="st:spc_52_absorption">
    <att list="" name="permID" namespace="http://i4i.com/s4ent/core/" readonly="false" value="73F7D5FB-042B-4E75-B9BA-BFE198F46969"/>
    <att list="" name="guid" namespace="http://i4i.com/s4ent/core/" readonly="false" value="7864F2AA-C24A-4F78-A8A1-08222B6D460D"/>
  </element>
  <element id="1860705430" idx="1860705430" name="co:aborsorption_body">
    <att list="" name="permID" namespace="http://i4i.com/s4ent/core/" readonly="false" value="06634661-9764-4466-ABC5-5A7A0DABA1F6"/>
    <att list="" name="guid" namespace="http://i4i.com/s4ent/core/" readonly="false" value="C0866E7F-0FC3-4395-A139-B4A1C9E723DA"/>
  </element>
  <element id="1578329747" idx="1578329747" name="cc:distribution">
    <att list="" name="permID" namespace="http://i4i.com/s4ent/core/" readonly="false" value="10EE4F57-C29F-487F-B4F9-A198C5FEB5DC"/>
    <att list="" name="guid" namespace="http://i4i.com/s4ent/core/" readonly="false" value="5FAEA89A-8EA0-4164-BDC1-5E80A8CB7473"/>
  </element>
  <element id="2370099461" idx="-1924867835" name="st:spc_52_distribution">
    <att list="" name="permID" namespace="http://i4i.com/s4ent/core/" readonly="false" value="966BADA9-4969-430A-9F8C-00C210AC4D47"/>
    <att list="" name="guid" namespace="http://i4i.com/s4ent/core/" readonly="false" value="3EDB6778-D815-4E50-BDE5-3BBC561AB329"/>
  </element>
  <element id="1388072421" idx="1388072421" name="co:distribution_body">
    <att list="" name="permID" namespace="http://i4i.com/s4ent/core/" readonly="false" value="07C15679-76E4-47A6-BCB3-3101F9DD930B"/>
    <att list="" name="guid" namespace="http://i4i.com/s4ent/core/" readonly="false" value="7BA43674-9A99-4D48-B7FC-7E0C71A449F8"/>
  </element>
  <element id="3923423562" idx="-371543734" name="cc:spc_52_biotransformation">
    <att list="" name="permID" namespace="http://i4i.com/s4ent/core/" readonly="false" value="209A9152-E320-4D5F-83A2-945EE192B9B5"/>
    <att list="" name="guid" namespace="http://i4i.com/s4ent/core/" readonly="false" value="4E4B731C-CC6E-4F55-B1B6-7D3873D9697E"/>
  </element>
  <element id="3738264393" idx="-556702903" name="st:spc_52_biotransformation">
    <att list="" name="permID" namespace="http://i4i.com/s4ent/core/" readonly="false" value="256CD480-ADAE-4B7E-A0B5-961F33348597"/>
    <att list="" name="guid" namespace="http://i4i.com/s4ent/core/" readonly="false" value="B8BE2770-D6E2-4EFF-801B-E66A9CFF76B6"/>
  </element>
  <element id="4065036003" idx="-229931293" name="co:biotransformation_body">
    <att list="" name="permID" namespace="http://i4i.com/s4ent/core/" readonly="false" value="78ED8CAB-9799-49E8-8C06-EC7EAB51B0D6"/>
    <att list="" name="guid" namespace="http://i4i.com/s4ent/core/" readonly="false" value="431C7C4D-897D-48CF-8470-00AD6B99611E"/>
  </element>
  <element id="229819059" idx="229819059" name="cc:elimination">
    <att list="" name="permID" namespace="http://i4i.com/s4ent/core/" readonly="false" value="69D219C6-8EBF-4CA8-A435-7C508066D1D8"/>
    <att list="" name="guid" namespace="http://i4i.com/s4ent/core/" readonly="false" value="160CFF17-ECC7-4CF5-9F20-0B6089472B85"/>
  </element>
  <element id="3927447662" idx="-367519634" name="st:spc_52_elimination">
    <att list="" name="permID" namespace="http://i4i.com/s4ent/core/" readonly="false" value="2FFE8392-3EBF-4049-A823-7059FB10AD88"/>
    <att list="" name="guid" namespace="http://i4i.com/s4ent/core/" readonly="false" value="652CD772-F3BE-4551-8791-B0C99531C5A0"/>
  </element>
  <element id="959002968" idx="959002968" name="co:elimination_body">
    <att list="" name="permID" namespace="http://i4i.com/s4ent/core/" readonly="false" value="6B571F60-0C78-42FB-B848-66D202570EF9"/>
    <att list="" name="guid" namespace="http://i4i.com/s4ent/core/" readonly="false" value="04BEC5B4-7363-4FDE-A3ED-708AF2C8106B"/>
  </element>
  <element id="1141224860" idx="1141224860" name="cc:linearitynon-linearity">
    <att list="" name="permID" namespace="http://i4i.com/s4ent/core/" readonly="false" value="DC06D5B9-F9F5-4661-8754-3BC09E4AE349"/>
    <att list="" name="guid" namespace="http://i4i.com/s4ent/core/" readonly="false" value="F608B94C-D09F-485D-BFC1-7836351AF9DA"/>
  </element>
  <element id="2582399426" idx="-1712567870" name="st:spc_52_linearity">
    <att list="" name="permID" namespace="http://i4i.com/s4ent/core/" readonly="false" value="0884F361-6A4C-4B77-BB12-15732DAE6F78"/>
    <att list="" name="guid" namespace="http://i4i.com/s4ent/core/" readonly="false" value="6BCE9AE2-8B1D-4F8D-B875-118CA318758C"/>
  </element>
  <element id="400333907" idx="400333907" name="co:linearity_body">
    <att list="" name="permID" namespace="http://i4i.com/s4ent/core/" readonly="false" value="25351D04-9A28-4B7C-8A90-A62D16B5823E"/>
    <att list="" name="guid" namespace="http://i4i.com/s4ent/core/" readonly="false" value="E4D35DAB-7025-4136-94D7-8596A2C01A78"/>
  </element>
  <element id="1762415231" idx="1762415231" name="cc:pharma_dynamic_rel">
    <att list="" name="permID" namespace="http://i4i.com/s4ent/core/" readonly="false" value="F2C36126-80B4-4724-B5BC-942015658CCB"/>
    <att list="" name="guid" namespace="http://i4i.com/s4ent/core/" readonly="false" value="29429FE9-320D-4D58-8E52-3F379604C6EA"/>
  </element>
  <element id="2313668691" idx="-1981298605" name="st:spc_52_relationship">
    <att list="" name="permID" namespace="http://i4i.com/s4ent/core/" readonly="false" value="030E0C6A-0E9C-47FE-BC3A-8AC9E49C608C"/>
    <att list="" name="guid" namespace="http://i4i.com/s4ent/core/" readonly="false" value="D15F1FD7-23BA-4FB5-BADC-EC83186F549F"/>
  </element>
  <element id="2894759186" idx="-1400208110" name="co:pharma_dynamic_rel_body">
    <att list="" name="permID" namespace="http://i4i.com/s4ent/core/" readonly="false" value="BD29E76D-7FFD-4B84-A8DC-D52786DE5529"/>
    <att list="" name="guid" namespace="http://i4i.com/s4ent/core/" readonly="false" value="5448B098-FEA1-418C-9F4F-4341FFC02096"/>
  </element>
  <element id="3339560791" idx="-955406505" name="st:spc_66_long">
    <att list="" name="permID" namespace="http://i4i.com/s4ent/core/" readonly="false" value="E1DEAF73-2968-4E3A-9763-CFA62CA4DBDD"/>
    <att name="Hidden" namespace="http://i4i.com/s4ent/core/" readonly="false" value=""/>
    <att list="" name="guid" namespace="http://i4i.com/s4ent/core/" readonly="false" value="336CACAF-CAB0-41E0-940D-EA52E55B4F24"/>
  </element>
  <element id="832727682" idx="832727682" name="co:disposal_body">
    <att list="" name="permID" namespace="http://i4i.com/s4ent/core/" readonly="false" value="6FEB9FBD-FC26-4C3D-ACB5-A58B524450B9"/>
    <att name="Hidden" namespace="http://i4i.com/s4ent/core/" readonly="false" value=""/>
    <att list="" name="guid" namespace="http://i4i.com/s4ent/core/" readonly="false" value="C4621469-37D3-4B43-ACDB-F91CCB614779"/>
  </element>
  <element id="1319004626" idx="1319004626" name="co:marketing_auth_no">
    <att list="" name="permID" namespace="http://i4i.com/s4ent/core/" readonly="false" value="E3D84A34-4FC4-4B93-8C31-17C30351018E"/>
    <att list="" name="guid" namespace="http://i4i.com/s4ent/core/" readonly="false" value="3BF515D7-641E-47E1-8374-2BBE71E3B8E6"/>
  </element>
  <element id="3409862972" idx="-885104324" name="st:spc_9a">
    <att list="" name="permID" namespace="http://i4i.com/s4ent/core/" readonly="false" value="882ABE0F-C69B-4F5F-A403-F4933B925CFB"/>
    <att name="Hidden" namespace="http://i4i.com/s4ent/core/" readonly="false" value=""/>
    <att list="" name="guid" namespace="http://i4i.com/s4ent/core/" readonly="false" value="57B68FEB-CDD8-49B8-BED6-650AA02D2E1B"/>
  </element>
  <element id="3805176695" idx="-489790601" name="co:first_auth_date_body">
    <att list="" name="permID" namespace="http://i4i.com/s4ent/core/" readonly="false" value="CC7EA152-7F8F-4CFE-A347-16696861D8EE"/>
    <att name="Hidden" namespace="http://i4i.com/s4ent/core/" readonly="false" value=""/>
    <att list="" name="guid" namespace="http://i4i.com/s4ent/core/" readonly="false" value="3C4E6DA9-A43B-4AC8-8D71-4140ADB9F40C"/>
  </element>
  <element id="1267809837" idx="1267809837" name="co:revision_date_body">
    <att list="" name="permID" namespace="http://i4i.com/s4ent/core/" readonly="false" value="FB6A5C78-B03E-42ED-B7E8-64A87FD81EF8"/>
    <att name="Hidden" namespace="http://i4i.com/s4ent/core/" readonly="false" value=""/>
    <att list="" name="guid" namespace="http://i4i.com/s4ent/core/" readonly="false" value="B2A75C19-6458-4AFE-B271-1E3884446E55"/>
  </element>
  <element id="1213232296" idx="1213232296" name="co:shelf_life_body">
    <att list="" name="permID" namespace="http://i4i.com/s4ent/core/" readonly="false" value="2C4F8108-9CCE-40CC-ABD7-0636525795B7"/>
    <att list="" name="guid" namespace="http://i4i.com/s4ent/core/" readonly="false" value="BA6CBCB9-6D66-4AC5-9246-5BFB0FE01BDF"/>
  </element>
  <element id="1438096190" idx="1438096190" name="co:spc_title">
    <att name="guid" namespace="http://i4i.com/s4ent/core/" readonly="false" value="61FE6C15-21B3-4A97-9331-8CC024A3D7A9"/>
    <att list="" name="permID" namespace="http://i4i.com/s4ent/core/" readonly="false" value="6C9CABE0-D7EF-46A5-A337-BB0610771BC4"/>
    <att name="Hidden" namespace="http://i4i.com/s4ent/core/" readonly="false" value=""/>
  </element>
  <element id="1509475625" idx="1509475625" name="cc:holder_information">
    <att list="" name="permID" namespace="http://i4i.com/s4ent/core/" readonly="false" value="5BA2F4BD-C193-4B1D-92C1-4FF6997BD336"/>
    <att list="" name="guid" namespace="http://i4i.com/s4ent/core/" readonly="false" value="973FF7EA-6D70-4827-8AB1-6B15BE2F4E09"/>
  </element>
  <element id="2782218812" idx="-1512748484" name="st:holder_information_st">
    <att list="" name="permID" namespace="http://i4i.com/s4ent/core/" readonly="false" value="7CFDDCAA-DB08-405D-8157-26C4B5998919"/>
    <att list="" name="guid" namespace="http://i4i.com/s4ent/core/" readonly="false" value="EBE8E639-4F4E-441F-B2E0-11BA4296BEDE"/>
  </element>
  <element id="1012955941" idx="1012955941" name="co:holder_information_body">
    <att list="" name="permID" namespace="http://i4i.com/s4ent/core/" readonly="false" value="8411A49D-8C67-4084-A46C-4626881E0037"/>
    <att list="" name="guid" namespace="http://i4i.com/s4ent/core/" readonly="false" value="43E1B966-A68B-4B8D-9DE9-E74995774DA7"/>
  </element>
  <element id="2668034199" idx="-1626933097" name="co:fertility_preg_lac_body">
    <att list="" name="guid" namespace="http://i4i.com/s4ent/core/" readonly="false" value="FB8B3A8A-F65F-421E-BAB1-496FDFB3C9C1"/>
    <att list="" name="permID" namespace="http://i4i.com/s4ent/core/" readonly="false" value="43321FCB-22C3-4488-8CAC-61D45DEA607B"/>
  </element>
  <element id="1911582092" idx="1911582092" name="cc:nursing_mothers">
    <att list="" name="guid" namespace="http://i4i.com/s4ent/core/" readonly="false" value="2C920142-534B-413B-B383-2C64C8320CD8"/>
    <att list="" name="permID" namespace="http://i4i.com/s4ent/core/" readonly="false" value="AC0EA00B-838F-4391-9679-106B579C8BE1"/>
  </element>
  <element id="3678291611" idx="-616675685" name="st:spc_46b">
    <att list="" name="guid" namespace="http://i4i.com/s4ent/core/" readonly="false" value="62670ABA-6564-4C7B-97B6-201A25852AE2"/>
    <att list="" name="permID" namespace="http://i4i.com/s4ent/core/" readonly="false" value="C2E86F44-FD97-4F17-A926-A81D20EA90AE"/>
  </element>
  <element id="4008921628" idx="-286045668" name="co:nursing_body">
    <att list="" name="guid" namespace="http://i4i.com/s4ent/core/" readonly="false" value="6A7EF29F-CCEB-4030-B59A-33B9547CAD03"/>
    <att list="" name="permID" namespace="http://i4i.com/s4ent/core/" readonly="false" value="3200311E-C995-414D-8D43-C59FC1F5479D"/>
  </element>
</att:attributes>
</file>

<file path=customXml/item2.xml><?xml version="1.0" encoding="utf-8"?>
<key:KeywordsVocabularies xmlns:key="http://www.i4i.com/ns/x4o/keywords">
  <keywords>
    <keywordset name="All Content of Labeling SPLs">
      <!-- The name is here only for documentation purposes... -->
      <doctypes>
        <doctype name="PLR4"/>
        <doctype name="SPL4"/>
        <doctype name="OTC4"/>
        <doctype name="Bulk4"/>
        <doctype name="Allergenic4"/>
        <doctype name="Allergenic-PLR4"/>
        <doctype name="Vaccine4"/>
        <doctype name="Vaccine-PLR4"/>
        <doctype name="VaccineBulk4"/>
        <doctype name="Blood4"/>
        <doctype name="BloodIntermediate4"/>
        <doctype name="Blood-PLR4"/>
        <doctype name="Cell4"/>
        <doctype name="Cell-PLR4"/>
        <doctype name="VetOTC4"/>
        <doctype name="VetOTCA4"/>
        <doctype name="VetOTCB4"/>
        <doctype name="VetOTCC4"/>
        <doctype name="Vet4"/>
        <doctype name="VetA4"/>
        <doctype name="VetB4"/>
        <doctype name="VetC4"/>
        <doctype name="Product Listing"/>
        <doctype name="Product Labeler"/>
        <doctype name="KitDevice4"/>
        <doctype name="KitDevice-PLR4"/>
        <doctype name="Cosmetic4"/>
        <doctype name="MedicalFood4"/>
        <doctype name="DietarySupplement4"/>
        <doctype name="OTC-PLR4"/>
        <doctype name="Device4"/>
        <doctype name="DeviceOTC4"/>
        <doctype name="Device-PLR4"/>
        <doctype name="DeviceRx4"/>
        <doctype name="DeviceRx-PLR4"/>
        <doctype name="HCD4"/>
        <doctype name="StandardAllergenic4"/>
        <doctype name="StandardAllergenic-PLR4"/>
        <doctype name="VaccineBulkIntermediate4"/>
        <doctype name="CGDFI4"/>
        <doctype name="ER4"/>
        <doctype name="GDFI4"/>
        <doctype name="LCR4"/>
        <doctype name="NC"/>
        <doctype name="OOB"/>
        <doctype name="DFP"/>
        <doctype name="XMLPM-Biosimilar"/>
        <doctype name="XMLPM-NOCC"/>
        <doctype name="XMLPM-SC"/>
        <doctype name="XMLPM-SD"/>
        <doctype name="XMLPM-SE"/>
        <doctype name="XMLPM-Standard"/>
      </doctypes>
      <keyworddef id="keyword_Brand_name" type="text" name="Brand name"/>
      <keyworddef id="keyword_Generic_name" type="text" name="Generic name"/>
      <keyworddef id="keyword_Dosage_form" name="Dosage form" constrained="no" vocabid="vocabid_Dosage_form"/>
      <keyworddef id="keyword_Dosage_strength" type="text" name="Dosage strength"/>
      <keyworddef id="keyword_Drug_substance" type="text" name="Active ingredient"/>
      <keyworddef id="keyword_Indication" type="text" name="Indication"/>
      <keyworddef id="keyword_Therapeutic_group" type="text" name="Therapeutic group"/>
      <keyworddef id="keyword_Administration_route" name="Administration route" constrained="no" vocabid="vocabid_Administration_route"/>
      <keyworddef id="keyword_Package" name="Package type" constrained="no" vocabid="vocabid_Package"/>
      <!-- If the user inserts a vocabulary list in the keyword, it will have to be the Generic Name vocabulary, but the user can type anything else... -->
    </keywordset>
  </keywords>
  <ValuesListSet>
    <ValuesList id="vocabid_Country">
      <doctypes>
        <doctype name="AnnexII" display="Country"/>
        <doctype name="Blister" display="Country"/>
        <doctype name="DocumentVariables" display="Country"/>
        <doctype name="EPAR" display="Country"/>
        <doctype name="Immediate" display="Country"/>
        <doctype name="Outer" display="Country"/>
        <doctype name="PDD" display="Country"/>
        <doctype name="PL" display="Country"/>
        <doctype name="SPC" display="Country"/>
      </doctypes>
      <Value>- n/a</Value>
      <Value>Austria</Value>
      <Value>Belgium</Value>
      <Value>Bulgaria</Value>
      <Value>Croatia</Value>
      <Value>Cyprus</Value>
      <Value>Czech Republic</Value>
      <Value>Denmark</Value>
      <Value>Estonia</Value>
      <Value>Finland</Value>
      <Value>France</Value>
      <Value>Germany</Value>
      <Value>Greece</Value>
      <Value>Hungary</Value>
      <Value>Iceland</Value>
      <Value>Ireland</Value>
      <Value>Italy</Value>
      <Value>Latvia</Value>
      <Value>Liechtenstein</Value>
      <Value>Lithuania</Value>
      <Value>Luxembourg</Value>
      <Value>Malta</Value>
      <Value>Netherlands</Value>
      <Value>Netherlands Antilles</Value>
      <Value>Norway</Value>
      <Value>Poland</Value>
      <Value>Portugal</Value>
      <Value>Romania</Value>
      <Value>Slovakia</Value>
      <Value>Slovenia</Value>
      <Value>Spain</Value>
      <Value>Sweden</Value>
      <Value>United Kingdom</Value>
    </ValuesList>
    <ValuesList id="vocabid_Language">
      <doctypes>
        <!-- This vocabulary list is not available for US documents -->
        <doctype name="AnnexII" display="Language"/>
        <doctype name="Blister" display="Language"/>
        <doctype name="DocumentVariables" display="Language"/>
        <doctype name="EPAR" display="Language"/>
        <doctype name="Immediate" display="Language"/>
        <doctype name="Outer" display="Language"/>
        <doctype name="PDD" display="Language"/>
        <doctype name="PL" display="Language"/>
        <doctype name="SPC" display="Language"/>
      </doctypes>
      <Value>- n/a</Value>
      <Value>bg (Bulgarian)</Value>
      <Value>cs (Czech)</Value>
      <Value>da (Danish)</Value>
      <Value>de (German)</Value>
      <Value>el (Greek)</Value>
      <Value>en (English)</Value>
      <Value>es (Spanish)</Value>
      <Value>et (Estonian)</Value>
      <Value>fi (Finnish)</Value>
      <Value>fr (French)</Value>
      <Value>hr (Croatian)</Value>
      <Value>hu (Hungarian)</Value>
      <Value>is (Icelandic)</Value>
      <Value>it (Italian)</Value>
      <Value>lt (Lithuanian)</Value>
      <Value>lv (Latvian)</Value>
      <Value>mt (Maltese)</Value>
      <Value>nl (Dutch)</Value>
      <Value>no (Norwegian)</Value>
      <Value>pl (Polish)</Value>
      <Value>pt (Portuguese)</Value>
      <Value>ro (Romanian)</Value>
      <Value>sk (Slovakian)</Value>
      <Value>sl (Slovenian)</Value>
      <Value>sv (Swedish)</Value>
      <Value>tr (Turkish)</Value>
    </ValuesList>
  </ValuesListSet>
  <ValuesList id="vocabid_Package" display="Package type">
    <doctypes>
      <doctype name="SPL4" display="Package type"/>
      <doctype name="PLR4" display="Package type"/>
      <doctype name="Bulk4" display="Package type"/>
      <doctype name="CGDFI4" display="Package type"/>
      <doctype name="Device4" display="Package type"/>
      <doctype name="DeviceOTC4" display="Package type"/>
      <doctype name="Device-PLR4" display="Package type"/>
      <doctype name="DeviceRx4" display="Package type"/>
      <doctype name="DeviceRx-PLR4" display="Package type"/>
      <doctype name="ER4" display="Package type"/>
      <doctype name="GDFI4" display="Package type"/>
      <doctype name="LCR4" display="Package type"/>
      <doctype name="NC" display="Package type"/>
      <doctype name="OOB" display="Package type"/>
      <doctype name="DFP" display="Package type"/>
      <doctype name="SideBySide" display="Package type"/>
      <doctype name="Cell4" display="Package type"/>
      <doctype name="Cell-PLR4" display="Package type"/>
      <doctype name="BloodIntermediate4" display="Package type"/>
      <doctype name="VaccineBulkIntermediate4" display="Package type"/>
      <doctype name="Allergenic4" display="Package type"/>
      <doctype name="Allergenic-PLR4" display="Package type"/>
      <doctype name="Blood4" display="Package type"/>
      <doctype name="Blood-PLR4" display="Package type"/>
      <doctype name="StandardAllergenic4" display="Package type"/>
      <doctype name="StandardAllergenic-PLR4" display="Package type"/>
      <doctype name="Vaccine4" display="Package type"/>
      <doctype name="Vaccine-PLR4" display="Package type"/>
    </doctypes>
    <Value>ampule</Value>
    <Value>applicator</Value>
    <Value>bag</Value>
    <Value>blister pack</Value>
    <Value>bottle</Value>
    <Value>bottle, dispensing</Value>
    <Value>bottle, dropper</Value>
    <Value>bottle, glass</Value>
    <Value>bottle, plastic</Value>
    <Value>bottle, pump</Value>
    <Value>bottle, spray</Value>
    <Value>bottle, unit-dose</Value>
    <Value>bottle, with applicator</Value>
    <Value>box</Value>
    <Value>box, unit-dose</Value>
    <Value>can</Value>
    <Value>canister</Value>
    <Value>capsule</Value>
    <Value>carton</Value>
    <Value>cartridge</Value>
    <Value>case</Value>
    <Value>cello pack</Value>
    <Value>container</Value>
    <Value>container, flexible intermediate bulk</Value>
    <Value>cup</Value>
    <Value>cup, unit-dose</Value>
    <Value>cylinder</Value>
    <Value>dewar</Value>
    <Value>dialpack</Value>
    <Value>dose pack</Value>
    <Value>drum</Value>
    <Value>inhaler</Value>
    <Value>inhaler, refill</Value>
    <Value>jar</Value>
    <Value>jug</Value>
    <Value>kit</Value>
    <Value>package</Value>
    <Value>package, combination</Value>
    <Value>packet</Value>
    <Value>pail</Value>
    <Value>patch</Value>
    <Value>pouch</Value>
    <Value>supersack</Value>
    <Value>syringe</Value>
    <Value>syringe, glass</Value>
    <Value>syringe, plastic</Value>
    <Value>tabminder</Value>
    <Value>tank</Value>
    <Value>tray</Value>
    <Value>tube</Value>
    <Value>tube, with applicator</Value>
    <Value>vial</Value>
    <Value>vial, dispensing</Value>
    <Value>vial, glass</Value>
    <Value>vial, multi-dose</Value>
    <Value>vial, patent delivery system</Value>
    <Value>vial, pharmacy bulk package</Value>
    <Value>vial, piggyback</Value>
    <Value>vial, plastic</Value>
    <Value>vial, single-dose</Value>
    <Value>vial, single-use</Value>
  </ValuesList>
  <ValuesList id="vocabid_Administration_route" display="Administration route">
    <doctypes>
      <doctype name="SPL4" display="Administration route"/>
      <doctype name="PLR4" display="Administration route"/>
      <doctype name="Bulk4" display="Administration route"/>
      <doctype name="CGDFI4" display="Administration route"/>
      <doctype name="Device4" display="Administration route"/>
      <doctype name="DeviceOTC4" display="Administration route"/>
      <doctype name="Device-PLR4" display="Administration route"/>
      <doctype name="DeviceRx4" display="Administration route"/>
      <doctype name="DeviceRx-PLR4" display="Administration route"/>
      <doctype name="ER4" display="Administration route"/>
      <doctype name="GDFI4" display="Administration route"/>
      <doctype name="LCR4" display="Administration route"/>
      <doctype name="NC" display="Administration route"/>
      <doctype name="OOB" display="Administration route"/>
      <doctype name="DFP" display="Administration route"/>
      <doctype name="SideBySide" display="Administration route"/>
      <doctype name="Cell4" display="Administration route"/>
      <doctype name="Cell-PLR4" display="Administration route"/>
      <doctype name="BloodIntermediate4" display="Administration route"/>
      <doctype name="VaccineBulkIntermediate4" display="Administration route"/>
      <doctype name="Allergenic4" display="Administration route"/>
      <doctype name="Allergenic-PLR4" display="Administration route"/>
      <doctype name="Blood4" display="Administration route"/>
      <doctype name="Blood-PLR4" display="Administration route"/>
      <doctype name="StandardAllergenic4" display="Administration route"/>
      <doctype name="StandardAllergenic-PLR4" display="Administration route"/>
      <doctype name="Vaccine4" display="Administration route"/>
      <doctype name="Vaccine-PLR4" display="Administration route"/>
    </doctypes>
    <Value>auricular (otic)</Value>
    <Value>buccal</Value>
    <Value>conjunctival</Value>
    <Value>cutaneous</Value>
    <Value>dental</Value>
    <Value>electro-osmosis</Value>
    <Value>endocervical</Value>
    <Value>endosinusial</Value>
    <Value>endotracheal</Value>
    <Value>enteral</Value>
    <Value>epidural</Value>
    <Value>extra-amniotic</Value>
    <Value>extracorporeal</Value>
    <Value>hemodialysis</Value>
    <Value>infiltration</Value>
    <Value>interstitial</Value>
    <Value>intra-abdominal</Value>
    <Value>intra-amniotic</Value>
    <Value>intra-arterial</Value>
    <Value>intra-articular</Value>
    <Value>intrabiliary</Value>
    <Value>intrabronchial</Value>
    <Value>intrabursal</Value>
    <Value>intracardiac</Value>
    <Value>intracartilaginous</Value>
    <Value>intracaudal</Value>
    <Value>intracavernous</Value>
    <Value>intracavitary</Value>
    <Value>intracerebral</Value>
    <Value>intracisternal</Value>
    <Value>intracorneal</Value>
    <Value>intracoronal, dental</Value>
    <Value>intracoronary</Value>
    <Value>intracorporus cavernosum</Value>
    <Value>intradermal</Value>
    <Value>intradiscal</Value>
    <Value>intraductal</Value>
    <Value>intraduodenal</Value>
    <Value>intradural</Value>
    <Value>intraepicardial</Value>
    <Value>intraepidermal</Value>
    <Value>intraesophageal</Value>
    <Value>intragastric</Value>
    <Value>intragingival</Value>
    <Value>intrahepatic</Value>
    <Value>intraileal</Value>
    <Value>intralesional</Value>
    <Value>intralingual</Value>
    <Value>intraluminal</Value>
    <Value>intralymphatic</Value>
    <Value>intramammary</Value>
    <Value>intramedullary</Value>
    <Value>intrameningeal</Value>
    <Value>intramuscular</Value>
    <Value>intranodal</Value>
    <Value>intraocular</Value>
    <Value>intraomentum</Value>
    <Value>intraovarian</Value>
    <Value>intrapericardial</Value>
    <Value>intraperitoneal</Value>
    <Value>intrapleural</Value>
    <Value>intraprostatic</Value>
    <Value>intrapulmonary</Value>
    <Value>intraruminal</Value>
    <Value>intrasinal</Value>
    <Value>intraspinal</Value>
    <Value>intrasynovial</Value>
    <Value>intratendinous</Value>
    <Value>intratesticular</Value>
    <Value>intrathecal</Value>
    <Value>intrathoracic</Value>
    <Value>intratubular</Value>
    <Value>intratumor</Value>
    <Value>intratypanic</Value>
    <Value>intrauterine</Value>
    <Value>intravascular</Value>
    <Value>intravenous</Value>
    <Value>intraventricular</Value>
    <Value>intravesical</Value>
    <Value>intravitreal</Value>
    <Value>iontophoresis</Value>
    <Value>irrigation</Value>
    <Value>laryngeal</Value>
    <Value>nasal</Value>
    <Value>nasogastric</Value>
    <Value>not applicable</Value>
    <Value>occlusive dressing technique</Value>
    <Value>ophthalmic</Value>
    <Value>oral</Value>
    <Value>oropharyngeal</Value>
    <Value>parenteral</Value>
    <Value>percutaneous</Value>
    <Value>periarticular</Value>
    <Value>peridural</Value>
    <Value>perineural</Value>
    <Value>periodontal</Value>
    <Value>rectal</Value>
    <Value>respiratory (inhalation)</Value>
    <Value>retrobulbar</Value>
    <Value>soft tissue</Value>
    <Value>subarachnoid</Value>
    <Value>subconjunctival</Value>
    <Value>subcutaneous</Value>
    <Value>subgingival</Value>
    <Value>sublingual</Value>
    <Value>submucosal</Value>
    <Value>subretinal</Value>
    <Value>topical</Value>
    <Value>transdermal</Value>
    <Value>transendocardial</Value>
    <Value>transmucosal</Value>
    <Value>transplacental</Value>
    <Value>transtracheal</Value>
    <Value>transtympanic</Value>
    <Value>ureteral</Value>
    <Value>urethral</Value>
    <Value>vaginal</Value>
  </ValuesList>
  <ValuesList id="vocabid_Dosage_form" display="Dosage form">
    <doctypes>
      <doctype name="SPL4" display="Dosage form"/>
      <doctype name="PLR4" display="Dosage form"/>
      <doctype name="Bulk4" display="Dosage form"/>
      <doctype name="CGDFI4" display="Dosage form"/>
      <doctype name="Device4" display="Dosage form"/>
      <doctype name="DeviceOTC4" display="Dosage form"/>
      <doctype name="Device-PLR4" display="Dosage form"/>
      <doctype name="DeviceRx4" display="Dosage form"/>
      <doctype name="DeviceRx-PLR4" display="Dosage form"/>
      <doctype name="ER4" display="Dosage form"/>
      <doctype name="GDFI4" display="Dosage form"/>
      <doctype name="LCR4" display="Dosage form"/>
      <doctype name="NC" display="Dosage form"/>
      <doctype name="OOB" display="Dosage form"/>
      <doctype name="DFP" display="Dosage form"/>
      <doctype name="SideBySide" display="Dosage form"/>
      <doctype name="Cell4" display="Dosage form"/>
      <doctype name="Cell-PLR4" display="Dosage form"/>
      <doctype name="BloodIntermediate4" display="Dosage form"/>
      <doctype name="VaccineBulkIntermediate4" display="Dosage form"/>
      <doctype name="Allergenic4" display="Dosage form"/>
      <doctype name="Allergenic-PLR4" display="Dosage form"/>
      <doctype name="Blood4" display="Dosage form"/>
      <doctype name="Blood-PLR4" display="Dosage form"/>
      <doctype name="StandardAllergenic4" display="Dosage form"/>
      <doctype name="StandardAllergenic-PLR4" display="Dosage form"/>
      <doctype name="Vaccine4" display="Dosage form"/>
      <doctype name="Vaccine-PLR4" display="Dosage form"/>
    </doctypes>
    <Value>aerosol</Value>
    <Value>aerosol, foam</Value>
    <Value>aerosol, metered</Value>
    <Value>aerosol, powder</Value>
    <Value>aerosol, spray</Value>
    <Value>bar, chewable</Value>
    <Value>bead</Value>
    <Value>bead, implant, extended release</Value>
    <Value>block</Value>
    <Value>capsule</Value>
    <Value>capsule, coated</Value>
    <Value>capsule, coated pellets</Value>
    <Value>capsule, coated, extended release</Value>
    <Value>capsule, delayed release</Value>
    <Value>capsule, delayed release pellets</Value>
    <Value>capsule, extended release</Value>
    <Value>capsule, film coated, extended release</Value>
    <Value>capsule, gelatin coated</Value>
    <Value>capsule, liquid filled</Value>
    <Value>cement</Value>
    <Value>cigarette</Value>
    <Value>cloth</Value>
    <Value>concentrate</Value>
    <Value>cone</Value>
    <Value>core, extended release</Value>
    <Value>cream</Value>
    <Value>cream, augmented</Value>
    <Value>crystal</Value>
    <Value>culture</Value>
    <Value>diaphragm</Value>
    <Value>disc</Value>
    <Value>douche</Value>
    <Value>dressing</Value>
    <Value>drug delivery system</Value>
    <Value>elixir</Value>
    <Value>emulsion</Value>
    <Value>enema</Value>
    <Value>extract</Value>
    <Value>fiber, extended release</Value>
    <Value>film</Value>
    <Value>film, extended release</Value>
    <Value>film, soluble</Value>
    <Value>for solution</Value>
    <Value>for solution, extended release</Value>
    <Value>gas</Value>
    <Value>gel</Value>
    <Value>gel, dentifrice</Value>
    <Value>gel, metered</Value>
    <Value>generator</Value>
    <Value>globule</Value>
    <Value>graft</Value>
    <Value>granule</Value>
    <Value>granule, delayed release</Value>
    <Value>granule, effervescent</Value>
    <Value>granule, for solution</Value>
    <Value>granule, for suspension</Value>
    <Value>granule, for suspension, extended release</Value>
    <Value>gum</Value>
    <Value>gum, chewing</Value>
    <Value>gum, resin</Value>
    <Value>implant</Value>
    <Value>inhalant</Value>
    <Value>injectable foam</Value>
    <Value>injectable, liposomal</Value>
    <Value>injection</Value>
    <Value>injection, emulsion</Value>
    <Value>injection, lipid complex</Value>
    <Value>injection, powder, for solution</Value>
    <Value>injection, powder, for suspension</Value>
    <Value>injection, powder, for suspension, extended release</Value>
    <Value>injection, powder, lyophilized, for liposomal suspension</Value>
    <Value>injection, powder, lyophilized, for solution</Value>
    <Value>injection, powder, lyophilized, for suspension</Value>
    <Value>injection, powder, lyophilized, for suspension, extended release</Value>
    <Value>injection, solution</Value>
    <Value>injection, solution, concentrate</Value>
    <Value>injection, suspension</Value>
    <Value>injection, suspension, extened release</Value>
    <Value>injection, suspension, lipsomal</Value>
    <Value>injection, suspension, sonicated</Value>
    <Value>insert</Value>
    <Value>insert, extended release</Value>
    <Value>intrauterine device</Value>
    <Value>irrigant</Value>
    <Value>jelly</Value>
    <Value>kit</Value>
    <Value>liner, dental</Value>
    <Value>liniment</Value>
    <Value>lipstick</Value>
    <Value>liquid</Value>
    <Value>liquid, extended release</Value>
    <Value>lotion</Value>
    <Value>lotion, augmented</Value>
    <Value>lotion/shampoo</Value>
    <Value>lozenge</Value>
    <Value>mouthwash</Value>
    <Value>oil</Value>
    <Value>ointment</Value>
    <Value>ointment, augmented</Value>
    <Value>packing</Value>
    <Value>paste</Value>
    <Value>paste, dentifrice</Value>
    <Value>pastille</Value>
    <Value>patch</Value>
    <Value>patch, extended release</Value>
    <Value>patch, extended release, electrically controlled</Value>
    <Value>pellet</Value>
    <Value>pellet, implantable</Value>
    <Value>pellets, coated, extended release</Value>
    <Value>pill</Value>
    <Value>plaster</Value>
    <Value>poultice</Value>
    <Value>powder</Value>
    <Value>powder, dentifrice</Value>
    <Value>powder, for solution</Value>
    <Value>powder, for suspension</Value>
    <Value>powder, metered</Value>
    <Value>ring</Value>
    <Value>rinse</Value>
    <Value>salve</Value>
    <Value>shampoo</Value>
    <Value>shampoo, suspension</Value>
    <Value>soap</Value>
    <Value>solution</Value>
    <Value>solution, concentrate</Value>
    <Value>solution, for slush</Value>
    <Value>solution, gel forming / drops</Value>
    <Value>solution, gel forming, extended release</Value>
    <Value>solution/ drops</Value>
    <Value>sponge</Value>
    <Value>spray</Value>
    <Value>spray, metered</Value>
    <Value>spray, suspension</Value>
    <Value>stick</Value>
    <Value>strip</Value>
    <Value>suppository</Value>
    <Value>suppository, extended release</Value>
    <Value>suspension</Value>
    <Value>suspension, extended release</Value>
    <Value>suspension/ drops</Value>
    <Value>suture</Value>
    <Value>swab</Value>
    <Value>syrup</Value>
    <Value>tablet</Value>
    <Value>tablet, chewable</Value>
    <Value>tablet, coated</Value>
    <Value>tablet, coated particles</Value>
    <Value>tablet, delayed release</Value>
    <Value>tablet, delayed release particles</Value>
    <Value>tablet, effervescent</Value>
    <Value>tablet, extended release</Value>
    <Value>tablet, film coated</Value>
    <Value>tablet, film coated, extended release</Value>
    <Value>tablet, for solution</Value>
    <Value>tablet, for suspension</Value>
    <Value>tablet, multilayer</Value>
    <Value>tablet, multilayer, extended release</Value>
    <Value>tablet, orally disintegrating</Value>
    <Value>tablet, orally disintegrating, delayed release</Value>
    <Value>tablet, soluble</Value>
    <Value>tablet, sugar coated</Value>
    <Value>tampon</Value>
    <Value>tape</Value>
    <Value>tincture</Value>
    <Value>troche</Value>
    <Value>unassigned</Value>
    <Value>wafer</Value>
  </ValuesList>
</key:KeywordsVocabularies>
</file>

<file path=customXml/item3.xml><?xml version="1.0" encoding="utf-8"?>
<xsl:stylesheet xmlns="http://www.w3.org/1999/xhtml" xmlns:x4o="http://www.i4i.com/ns/x4o/property/syncing" xmlns:xsl="http://www.w3.org/1999/XSL/Transform" version="1.0">
  <xsl:output method="xml" omit-xml-declaration="yes"/>
  <xsl:template match="x4o:properties">
    <xsl:variable name="smallcase" select="'abcdefghijklmnopqrstuvwxyz'"/>
    <xsl:variable name="uppercase" select="'ABCDEFGHIJKLMNOPQRSTUVWXYZ'"/>
    <html lang="en" xml:lang="en">
      <head>
        <style type="text/css">
					body{background-color: #D6E7F7;}table{width: 100%; font-size: 8pt; font-family: Arial Unicode MS, Lucida Sans Unicode, sans-serif;}th {background-color: #ADC7E7; font-size: 10pt; 		font-family: Arial Unicode MS, Lucida Sans Unicode, sans-serif;}td{width: 25%; vertical-align:text-top;}.propertyHeading{background-color:#C7DCF0;}ul{margin:0px;padding:0px;}
				</style>
        <title>
        </title>
      </head>
      <body>
        <xsl:choose>
          <xsl:when test="property[1]">
            <table>
              <tbody>
                <tr>
                  <th colspan="4">Custom Properties</th>
                </tr>
                <tr>
                  <td class="propertyHeading">Sample Property:</td>
                  <td>
                    <span id="sample_property">
                      <xsl:value-of select="property[@id='sample_property']/text()"/>
                    </span>
                  </td>
                </tr>
              </tbody>
            </table>
          </xsl:when>
          <xsl:otherwise>
            <p>In order for the Properties dialog to display correctly, the document content must be valid. Please run the Readiness Report and Correct Typography tools and fix any errors or warnings before trying again.
</p>
          </xsl:otherwise>
        </xsl:choose>
      </body>
    </html>
  </xsl:template>
  <xsl:template match="text()" name="split">
    <xsl:param name="pText" select="."/>
    <xsl:if test="string-length($pText)">
      <xsl:if test="not($pText=.)">
        <li>
          <xsl:value-of select="substring-before(concat($pText,';'),';')"/>
        </li>
      </xsl:if>
      <xsl:call-template name="split">
        <xsl:with-param name="pText" select="substring-after($pText, ';')"/>
      </xsl:call-template>
    </xsl:if>
  </xsl:template>
</xsl:stylesheet>
</file>

<file path=customXml/item4.xml><?xml version="1.0" encoding="utf-8"?>
<x4o:i4i xmlns:x4o="http://www.i4i.com/ns/x4o/options">
  <i4i_headings_config path="\DevConfig\Resources\StandardText.xml"/>
  <i4i_publishing_schema path="\DevConfig\Resources\Schemas\SampleSchema.xsd"/>
  <i4i_updates>
    <deploymentFile displayName="Templates" name="templates" url="https://sample_company.com/templates/sample_request?file=sample_template_config"/>
    <deploymentFile displayName="Reference Data" name="reference_data" url="https://sample_url_to_ref_data_config"/>
  </i4i_updates>
  <i4i_attributes>
    <definitions>
    </definitions>
  </i4i_attributes>
  <i4i_styles>
  </i4i_styles>
</x4o:i4i>
</file>

<file path=customXml/item5.xml><?xml version="1.0" encoding="utf-8"?>
<x4o:i4i xmlns:x4o="http://www.i4i.com/ns/x4o/config">
  <element_properties>
    <ccp id="1438096190" max="1" min="0" name="spc_title" prefix="co:" structure="sequence" tag="co:spc_title" title="Document Title"/>
    <ccp id="-1880237258" max="1" min="0" name="additional_monitoring" prefix="cc:" structure="sequence" tag="cc:additional_monitoring" title="Additional monitoring"/>
    <ccp id="85042850" max="1" min="1" name="symbol" prefix="st:" structure="sequence" tag="st:symbol" title="Black Triangle"/>
    <ccp id="368954044" max="1" min="1" name="spc_0" prefix="st:" structure="sequence" tag="st:spc_0" title="Additional monitoring statement"/>
    <ccp id="6613748" max="1" min="0" name="statement_of_identity" prefix="cc:" structure="sequence" tag="cc:statement_of_identity" title="1. Name of the medicinal product"/>
    <ccp id="6613604" max="1" min="0" name="spc_1" prefix="st:" structure="sequence" tag="st:spc_1" title="Product name heading"/>
    <ccp id="-2025695902" max="1" min="0" name="state_of_ident_heading" prefix="hd:" structure="sequence" tag="hd:state_of_ident_heading" title="Editable Product name heading"/>
    <ccp id="247622788" max="1" min="0" name="statement_of_identity_body" prefix="co:" structure="sequence" tag="co:statement_of_identity_body" title="Name of the medicinal product body"/>
    <ccp id="6613622" max="1" min="0" name="qualitative_quantitative_comp" prefix="cc:" structure="sequence" tag="cc:qualitative_quantitative_comp" title="2. Qualitative and quantitative composition"/>
    <ccp id="6613628" max="1" min="0" name="spc_2" prefix="st:" structure="sequence" tag="st:spc_2" title="Composition section heading"/>
    <ccp id="545420264" max="1" min="0" name="composition_heading" prefix="hd:" structure="sequence" tag="hd:composition_heading" title="Editable Composition section heading"/>
    <ccp id="199914018" max="1" min="0" name="composition_intro" prefix="co:" structure="sequence" tag="co:composition_intro" title="General qualitative and quantitative composition body"/>
    <ccp id="22409882" max="1" min="0" name="description" prefix="cc:" structure="sequence" tag="cc:description" title="2.1 General description "/>
    <ccp id="22409889" max="1" min="0" name="spc_21" prefix="st:" structure="sequence" tag="st:spc_21" title="General description heading"/>
    <ccp id="-9068927" max="1" min="0" name="description_heading" prefix="hd:" structure="sequence" tag="hd:description_heading" title="Editable General description heading"/>
    <ccp id="22409902" max="1" min="0" name="composition_description_body" prefix="co:" structure="sequence" tag="co:composition_description_body" title="Composition description"/>
    <ccp id="106064592" max="1" min="0" name="composition" prefix="cc:" structure="sequence" tag="cc:composition" title="2.2 Qualitative and quantitative composition "/>
    <ccp id="106064605" max="1" min="0" name="spc_22" prefix="st:" structure="sequence" tag="st:spc_22" title="Qualitative and quantitative composition heading"/>
    <ccp id="764266488" max="1" min="0" name="qual_composition_heading" prefix="hd:" structure="sequence" tag="hd:qual_composition_heading" title="Editable Qualitative and quantitative composition heading"/>
    <ccp id="-319583265" max="1" min="0" name="qual_composition_body" prefix="co:" structure="sequence" tag="co:qual_composition_body" title="Composition body"/>
    <ccp id="-1624460174" max="1" min="0" name="excipients" prefix="cc:" structure="sequence" tag="cc:excipients" title="Excipients"/>
    <ccp id="-229080989" max="1" min="0" name="spc_22a" prefix="st:" structure="sequence" tag="st:spc_22a" title="Excipients heading"/>
    <ccp id="-363137045" max="1" min="0" name="excipients_heading" prefix="hd:" structure="sequence" tag="hd:excipients_heading" title="Editable Excipients heading"/>
    <ccp id="1872798020" max="unbounded" min="0" name="excipient_body" prefix="co:" structure="sequence" tag="co:excipient_body" title="Excipients body"/>
    <ccp id="106064647" max="1" min="0" name="spc_2a" prefix="st:" structure="sequence" tag="st:spc_2a" title="Full list of excipients xref"/>
    <ccp id="-2062083782" max="1" min="0" name="excipients_end_body" prefix="co:" structure="sequence" tag="co:excipients_end_body" title="Excipients End Body"/>
    <ccp id="6620419" max="1" min="0" name="dosage_form_strength" prefix="cc:" structure="sequence" tag="cc:dosage_form_strength" title="3. Pharmaceutical form"/>
    <ccp id="6620420" max="1" min="0" name="spc_3" prefix="st:" structure="sequence" tag="st:spc_3" title="Pharmaceutical form heading"/>
    <ccp id="1908724503" max="1" min="0" name="dosage_form_heading" prefix="hd:" structure="sequence" tag="hd:dosage_form_heading" title="Editable Pharmaceutical form heading"/>
    <ccp id="-1177883681" max="1" min="0" name="spc_3a" prefix="st:" structure="sequence" tag="st:spc_3a" title="Scoring info (not for equal doses)"/>
    <ccp id="943881111" max="1" min="0" name="spc_3b" prefix="st:" structure="sequence" tag="st:spc_3b" title="Scoring info (not for breaking tablet)"/>
    <ccp id="-1816404722" max="1" min="0" name="spc_3c" prefix="st:" structure="sequence" tag="st:spc_3c" title="Equal dose (use for equal doses)"/>
    <ccp id="677860247" max="1" min="0" name="dosage_form_body" prefix="co:" structure="sequence" tag="co:dosage_form_body" title="Pharmaceutical form body"/>
    <ccp id="6620594" max="1" min="0" name="clinical_particulars" prefix="cc:" structure="sequence" tag="cc:clinical_particulars" title="4. Clinical particulars"/>
    <ccp id="6620611" max="1" min="0" name="spc_4" prefix="st:" structure="sequence" tag="st:spc_4" title="Clinical particulars heading"/>
    <ccp id="1875971480" max="1" min="0" name="clinical_particulars_heading" prefix="hd:" structure="sequence" tag="hd:clinical_particulars_heading" title="Editable Clinical particulars heading"/>
    <ccp id="-1896802590" max="1" min="0" name="clinical_particulars_intro" prefix="co:" structure="sequence" tag="co:clinical_particulars_intro" title="Clinical Particulars Introduction"/>
    <ccp id="106065802" max="1" min="0" name="indications" prefix="cc:" structure="sequence" tag="cc:indications" title="4.1 Therapeutic indications"/>
    <ccp id="106065836" max="1" min="0" name="spc_41" prefix="st:" structure="sequence" tag="st:spc_41" title="Therapeutic indications heading"/>
    <ccp id="-350724132" max="1" min="0" name="indications_heading" prefix="hd:" structure="sequence" tag="hd:indications_heading" title="Editable Therapeutic indications heading"/>
    <ccp id="-1774384405" max="1" min="0" name="spc_41a" prefix="st:" structure="sequence" tag="st:spc_41a" title="Diagnostic use only"/>
    <ccp id="-236626547" max="1" min="0" name="spc_41b" prefix="st:" structure="sequence" tag="st:spc_41b" title="Indications adult"/>
    <ccp id="-1622062999" max="1" min="0" name="keyword_Brand_name" prefix="kw:" structure="sequence" tag="kw:keyword_Brand_name" title="Brand Name"/>
    <ccp id="-1748334527" max="1" min="0" name="spc_41c" prefix="st:" structure="sequence" tag="st:spc_41c" title="Indications neonates"/>
    <ccp id="-1198010528" max="1" min="0" name="keyword_Brand_name" prefix="kw:" structure="sequence" tag="kw:keyword_Brand_name" title="Brand Name"/>
    <ccp id="129836777" max="1" min="0" name="spc_41d" prefix="st:" structure="sequence" tag="st:spc_41d" title="Indications infants"/>
    <ccp id="-1704940270" max="1" min="0" name="keyword_Brand_name" prefix="kw:" structure="sequence" tag="kw:keyword_Brand_name" title="Brand Name"/>
    <ccp id="1336034209" max="1" min="0" name="spc_41e" prefix="st:" structure="sequence" tag="st:spc_41e" title="Indications children"/>
    <ccp id="60911695" max="1" min="0" name="keyword_Brand_name" prefix="kw:" structure="sequence" tag="kw:keyword_Brand_name" title="Brand Name"/>
    <ccp id="1794643849" max="1" min="0" name="spc_41f" prefix="st:" structure="sequence" tag="st:spc_41f" title="Indications adolescents"/>
    <ccp id="990526064" max="1" min="0" name="keyword_Brand_name" prefix="kw:" structure="sequence" tag="kw:keyword_Brand_name" title="Brand Name"/>
    <ccp id="106065806" max="1" min="0" name="indications_body" prefix="co:" structure="sequence" tag="co:indications_body" title="Therapeutic indications body"/>
    <ccp id="106065841" max="1" min="0" name="dosage_admin" prefix="cc:" structure="sequence" tag="cc:dosage_admin" title="4.2 Posology and method of administration"/>
    <ccp id="106065848" max="1" min="0" name="spc_42" prefix="st:" structure="sequence" tag="st:spc_42" title="Posology and method of administration heading"/>
    <ccp id="-452092888" max="1" min="0" name="dosage_and_admin_heading" prefix="hd:" structure="sequence" tag="hd:dosage_and_admin_heading" title="Editable Posology and method of administration heading"/>
    <ccp id="106065856" max="1" min="0" name="dosage_admin_body" prefix="co:" structure="sequence" tag="co:dosage_admin_body" title="Posology and method of administration body"/>
    <ccp id="106065930" max="1" min="0" name="posology_target_population" prefix="cc:" structure="sequence" tag="cc:posology_target_population" title="Posology target population"/>
    <ccp id="106065940" max="1" min="0" name="spc_42a" prefix="st:" structure="sequence" tag="st:spc_42a" title="Posology heading"/>
    <ccp id="-1459104076" max="1" min="0" name="posology_heading" prefix="hd:" structure="sequence" tag="hd:posology_heading" title="Editable Posology heading"/>
    <ccp id="106065909" max="1" min="0" name="posology_body" prefix="co:" structure="sequence" tag="co:posology_body" title="Posology target population body"/>
    <ccp id="106065969" max="1" min="0" name="paediatric_use" prefix="cc:" structure="sequence" tag="cc:paediatric_use" title="Paediatric posology"/>
    <ccp id="106065970" max="1" min="0" name="spc_42b" prefix="st:" structure="sequence" tag="st:spc_42b" title="Paediatric posology heading"/>
    <ccp id="1696577657" max="1" min="0" name="paediatric_posology_heading" prefix="hd:" structure="sequence" tag="hd:paediatric_posology_heading" title="Editable Paediatric posology heading"/>
    <ccp id="106065971" max="1" min="0" name="posology_paediatric_body" prefix="co:" structure="sequence" tag="co:posology_paediatric_body" title="Paediatric posology body"/>
    <ccp id="1017037407" max="1" min="0" name="safety_not_established" prefix="co:" structure="sequence" tag="co:safety_not_established" title="Paediatric safety unestablished"/>
    <ccp id="732125787" max="1" min="0" name="spc_42ba" prefix="st:" structure="sequence" tag="st:spc_42ba" title="No data available"/>
    <ccp id="246925546" max="1" min="0" name="spc_42bb" prefix="st:" structure="sequence" tag="st:spc_42bb" title="Data available in 4.8"/>
    <ccp id="-1602177554" max="1" min="0" name="spc_42bc" prefix="st:" structure="sequence" tag="st:spc_42bc" title="Data available in 5.1"/>
    <ccp id="454064628" max="1" min="0" name="spc_42bd" prefix="st:" structure="sequence" tag="st:spc_42bd" title="Data available in 5.2"/>
    <ccp id="-152844561" max="1" min="0" name="do_not_use" prefix="co:" structure="sequence" tag="co:do_not_use" title="Do not use in children"/>
    <ccp id="-641816551" max="1" min="0" name="no_relevant_use" prefix="co:" structure="sequence" tag="co:no_relevant_use" title="No relevant use in children"/>
    <ccp id="-988935834" max="1" min="0" name="contraindicated_in_children" prefix="co:" structure="sequence" tag="co:contraindicated_in_children" title="Contraindicated in children"/>
    <ccp id="106066106" max="1" min="0" name="administration_section" prefix="cc:" structure="sequence" tag="cc:administration_section" title="Method of administration "/>
    <ccp id="106066107" max="1" min="0" name="spc_42c" prefix="st:" structure="sequence" tag="st:spc_42c" title="Method of administraton heading"/>
    <ccp id="1768045890" max="1" min="0" name="admin_heading" prefix="hd:" structure="sequence" tag="hd:admin_heading" title="Editable Method of administraton heading"/>
    <ccp id="-1340845012" max="1" min="0" name="method_of_admin_body" prefix="co:" structure="sequence" tag="co:method_of_admin_body" title="Method of administration body"/>
    <ccp id="1252091770" max="1" min="0" name="precautions" prefix="cc:" structure="sequence" tag="cc:precautions" title="Precautions "/>
    <ccp id="106066108" max="1" min="0" name="spc_42ca" prefix="st:" structure="sequence" tag="st:spc_42ca" title="Precautions heading"/>
    <ccp id="590904475" max="1" min="0" name="precautions_heading" prefix="hd:" structure="sequence" tag="hd:precautions_heading" title="Editable Precautions heading"/>
    <ccp id="240369568" max="1" min="0" name="precautions_body" prefix="co:" structure="sequence" tag="co:precautions_body" title="Precautions body"/>
    <ccp id="-1679503643" max="1" min="0" name="spc_42d_reconstituted" prefix="st:" structure="sequence" tag="st:spc_42d_reconstituted" title="Reconstitution 6.6 "/>
    <ccp id="-123852259" max="1" min="0" name="spc_42d_reconstituted_66_12" prefix="st:" structure="sequence" tag="st:spc_42d_reconstituted_66_12" title="Reconstitution 6.6 and 12"/>
    <ccp id="-1844539836" max="1" min="0" name="spc_42d_reconstituted_12" prefix="st:" structure="sequence" tag="st:spc_42d_reconstituted_12" title="Reconstitution 12"/>
    <ccp id="-1604568282" max="1" min="0" name="spc_42d_diluted" prefix="st:" structure="sequence" tag="st:spc_42d_diluted" title="Dilution 6.6"/>
    <ccp id="779530956" max="1" min="0" name="spc_42d_diluted_66_12" prefix="st:" structure="sequence" tag="st:spc_42d_diluted_66_12" title="Dilution 6.6 and 12"/>
    <ccp id="-1839842344" max="1" min="0" name="spc_42d_diluted_12" prefix="st:" structure="sequence" tag="st:spc_42d_diluted_12" title="Dilution 12"/>
    <ccp id="106066359" max="1" min="0" name="contraindications" prefix="cc:" structure="sequence" tag="cc:contraindications" title="4.3 Contraindications"/>
    <ccp id="106066360" max="1" min="0" name="spc_43" prefix="st:" structure="sequence" tag="st:spc_43" title="Contraindications heading"/>
    <ccp id="106066361" max="1" min="0" name="contraindications_heading" prefix="hd:" structure="sequence" tag="hd:contraindications_heading" title="Editable Contraindications heading"/>
    <ccp id="273139659" max="1" min="0" name="contraindications_intro" prefix="co:" structure="sequence" tag="co:contraindications_intro" title="Contraindications Introduction"/>
    <ccp id="1208297951" max="1" min="0" name="spc_43a" prefix="st:" structure="sequence" tag="st:spc_43a" title="Hypersensitivity information"/>
    <ccp id="-179202130" max="1" min="0" name="residues" prefix="co:" structure="sequence" tag="co:residues" title="Residues"/>
    <ccp id="1947738299" max="1" min="0" name="contraindications_body" prefix="co:" structure="sequence" tag="co:contraindications_body" title="Contraindications body"/>
    <ccp id="106066474" max="1" min="0" name="warnings_precautions" prefix="cc:" structure="sequence" tag="cc:warnings_precautions" title="4.4 Special warnings and precautions"/>
    <ccp id="106066475" max="1" min="0" name="spc_44" prefix="st:" structure="sequence" tag="st:spc_44" title="Warnings and precautions heading"/>
    <ccp id="-195242707" max="1" min="0" name="warnings_precautions_heading" prefix="hd:" structure="sequence" tag="hd:warnings_precautions_heading" title="Editable Warnings and precautions heading"/>
    <ccp id="-889643583" max="1" min="0" name="warnings_precautions_body" prefix="co:" structure="sequence" tag="co:warnings_precautions_body" title="Special warnings and precautions body"/>
    <ccp id="-1034339373" max="1" min="0" name="paediatric_warnings" prefix="cc:" structure="sequence" tag="cc:paediatric_warnings" title="Paediatric warnings"/>
    <ccp id="-933898302" max="1" min="0" name="spc_44a" prefix="st:" structure="sequence" tag="st:spc_44a" title="Paediatric warning heading"/>
    <ccp id="1596441262" max="1" min="0" name="paediatric_warning_heading" prefix="hd:" structure="sequence" tag="hd:paediatric_warning_heading" title="Editable Paediatric warning heading"/>
    <ccp id="106066476" max="1" min="0" name="warnings_precautions_ped_body" prefix="co:" structure="sequence" tag="co:warnings_precautions_ped_body" title="Paediatric warnings body"/>
    <ccp id="106066579" max="1" min="0" name="interactions" prefix="cc:" structure="sequence" tag="cc:interactions" title="4.5 Interactions "/>
    <ccp id="106066580" max="1" min="0" name="spc_45" prefix="st:" structure="sequence" tag="st:spc_45" title="Interactions heading"/>
    <ccp id="-503287224" max="1" min="0" name="interactions_heading" prefix="hd:" structure="sequence" tag="hd:interactions_heading" title="Editable Interactions heading"/>
    <ccp id="690416751" max="1" min="0" name="spc_45a" prefix="st:" structure="sequence" tag="st:spc_45a" title="No interaction studies"/>
    <ccp id="646719223" max="1" min="0" name="interactions_body" prefix="co:" structure="sequence" tag="co:interactions_body" title="Interactions body"/>
    <ccp id="-1381858691" max="1" min="0" name="paediatric_interactions" prefix="cc:" structure="sequence" tag="cc:paediatric_interactions" title="Paediatric interactions"/>
    <ccp id="-1252352363" max="1" min="0" name="spc_45b" prefix="st:" structure="sequence" tag="st:spc_45b" title="Paediatric interactions heading"/>
    <ccp id="-814882220" max="1" min="0" name="interactions_paediatric" prefix="hd:" structure="sequence" tag="hd:interactions_paediatric" title="Editable Paediatric interactions heading"/>
    <ccp id="106066581" max="1" min="0" name="spc_45c" prefix="st:" structure="sequence" tag="st:spc_45c" title="Interaction studies adults"/>
    <ccp id="106066582" max="1" min="0" name="interactions_ped_body" prefix="co:" structure="sequence" tag="co:interactions_ped_body" title="Paediatric interactions body"/>
    <ccp id="106067703" max="1" min="0" name="pregnancy_lactation" prefix="cc:" structure="sequence" tag="cc:pregnancy_lactation" title="4.6 Fertility, pregnancy and lactation "/>
    <ccp id="106067704" max="1" min="0" name="spc_46" prefix="st:" structure="sequence" tag="st:spc_46" title="Fertility, pregnancy and lactation heading"/>
    <ccp id="-1722970341" max="1" min="0" name="pregnancy_lactation_heading" prefix="hd:" structure="sequence" tag="hd:pregnancy_lactation_heading" title="Editable Fertility, pregnancy and lactation heading"/>
    <ccp id="207608991" max="1" min="0" name="fertility_preg_lac_body" prefix="co:" structure="sequence" tag="co:fertility_preg_lac_body" title="Fertility, Pregnancy and lactation Body"/>
    <ccp id="-1254199257" max="1" min="0" name="pregnancy" prefix="cc:" structure="sequence" tag="cc:pregnancy" title="Pregnancy"/>
    <ccp id="106067705" max="1" min="0" name="spc_46a" prefix="st:" structure="sequence" tag="st:spc_46a" title="Pregnancy heading"/>
    <ccp id="743843752" max="1" min="0" name="pregnancy_heading" prefix="hd:" structure="sequence" tag="hd:pregnancy_heading" title="Editable Pregnancy heading"/>
    <ccp id="52129807" max="1" min="0" name="pregnancy_body" prefix="co:" structure="sequence" tag="co:pregnancy_body" title="Pregnancy body"/>
    <ccp id="-720909500" max="1" min="0" name="nursing_mothers" prefix="cc:" structure="sequence" tag="cc:nursing_mothers" title="Breast-feeding"/>
    <ccp id="-490714704" max="1" min="0" name="spc_46b" prefix="st:" structure="sequence" tag="st:spc_46b" title="Breast-feeding heading"/>
    <ccp id="1821614944" max="1" min="0" name="nursing_heading" prefix="hd:" structure="sequence" tag="hd:nursing_heading" title="Editable Breast-feeding heading"/>
    <ccp id="-618985024" max="1" min="0" name="nursing_body" prefix="co:" structure="sequence" tag="co:nursing_body" title="Breast-feeding body"/>
    <ccp id="300734896" max="1" min="0" name="fertility" prefix="cc:" structure="sequence" tag="cc:fertility" title="Fertility"/>
    <ccp id="-504133981" max="1" min="0" name="spc_46c" prefix="st:" structure="sequence" tag="st:spc_46c" title="Fertility heading"/>
    <ccp id="-1865514671" max="1" min="0" name="fertility_heading" prefix="hd:" structure="sequence" tag="hd:fertility_heading" title="Editable Fertility heading"/>
    <ccp id="529453722" max="1" min="0" name="fertility_body" prefix="co:" structure="sequence" tag="co:fertility_body" title="Fertility body"/>
    <ccp id="106067736" max="1" min="0" name="precautions_general" prefix="cc:" structure="sequence" tag="cc:precautions_general" title="4.7 Driving warnings"/>
    <ccp id="106067737" max="1" min="0" name="spc_47" prefix="st:" structure="sequence" tag="st:spc_47" title="Driving warning heading"/>
    <ccp id="-493879532" max="1" min="0" name="driving_warning_heading" prefix="hd:" structure="sequence" tag="hd:driving_warning_heading" title="Editable Driving warning heading"/>
    <ccp id="845678811" max="1" min="0" name="spc_47a" prefix="st:" structure="sequence" tag="st:spc_47a" title="No influence on driving"/>
    <ccp id="-286654140" max="1" min="0" name="keyword_Brand_name" prefix="kw:" structure="sequence" tag="kw:keyword_Brand_name" title="Brand Name"/>
    <ccp id="937404762" max="1" min="0" name="spc_47b" prefix="st:" structure="sequence" tag="st:spc_47b" title="Minor influence on driving"/>
    <ccp id="112023399" max="1" min="0" name="keyword_Brand_name" prefix="kw:" structure="sequence" tag="kw:keyword_Brand_name" title="Brand Name"/>
    <ccp id="704222389" max="1" min="0" name="spc_47c" prefix="st:" structure="sequence" tag="st:spc_47c" title="Moderate influence on driving"/>
    <ccp id="48587710" max="1" min="0" name="keyword_Brand_name" prefix="kw:" structure="sequence" tag="kw:keyword_Brand_name" title="Brand Name"/>
    <ccp id="1784144174" max="1" min="0" name="spc_47d" prefix="st:" structure="sequence" tag="st:spc_47d" title="Major influence on driving"/>
    <ccp id="1743907031" max="1" min="0" name="keyword_Brand_name" prefix="kw:" structure="sequence" tag="kw:keyword_Brand_name" title="Brand Name"/>
    <ccp id="-1978907768" max="1" min="0" name="spc_47e" prefix="st:" structure="sequence" tag="st:spc_47e" title="Not relevant"/>
    <ccp id="106067738" max="1" min="0" name="driving_warnings_body" prefix="co:" structure="sequence" tag="co:driving_warnings_body" title="Driving warnings body"/>
    <ccp id="106067772" max="1" min="0" name="adverse_effects" prefix="cc:" structure="sequence" tag="cc:adverse_effects" title="4.8 Undesirable effects "/>
    <ccp id="106067773" max="1" min="0" name="spc_48" prefix="st:" structure="sequence" tag="st:spc_48" title="Undesirable effects heading"/>
    <ccp id="-953947321" max="1" min="0" name="adverse_effects_heading" prefix="hd:" structure="sequence" tag="hd:adverse_effects_heading" title="Editable Undesirable effects heading"/>
    <ccp id="1279681105" max="unbounded" min="0" name="undesirable_effects" prefix="co:" structure="sequence" tag="co:undesirable_effects" title="Undesirable effects body"/>
    <ccp id="-1728674023" max="1" min="0" name="adverse_effects_paediatric" prefix="cc:" structure="sequence" tag="cc:adverse_effects_paediatric" title=" Paediatric undesirable effects"/>
    <ccp id="-636334316" max="1" min="0" name="spc_48a" prefix="st:" structure="sequence" tag="st:spc_48a" title="Paediatric undesirable effects heading"/>
    <ccp id="-1201627411" max="1" min="0" name="adverse_effects_paed_heading" prefix="hd:" structure="sequence" tag="hd:adverse_effects_paed_heading" title="Editable Paediatric undesirable effects heading"/>
    <ccp id="1740907298" max="1" min="0" name="adverse_effects_ped_body" prefix="co:" structure="sequence" tag="co:adverse_effects_ped_body" title=" Paediatric undesirable effects body"/>
    <ccp id="-1570024135" max="1" min="0" name="reporting_effects" prefix="cc:" structure="sequence" tag="cc:reporting_effects" title="Reporting of suspected adverse reactions"/>
    <ccp id="649794329" max="1" min="0" name="spc_48b" prefix="st:" structure="sequence" tag="st:spc_48b" title="Reporting adverse reactions heading"/>
    <ccp id="-336159890" max="1" min="0" name="reporting_effects_heading" prefix="hd:" structure="sequence" tag="hd:reporting_effects_heading" title="Editable Reporting adverse reactions heading"/>
    <ccp id="1701896931" max="1" min="0" name="spc_48c" prefix="st:" structure="sequence" tag="st:spc_48c" title="Reporting reactions statement"/>
    <ccp id="-1413312993" max="1" min="0" name="adverse_effects_body" prefix="co:" structure="sequence" tag="co:adverse_effects_body" title="Reporting of suspected adverse reactions body"/>
    <ccp id="106067811" max="1" min="0" name="overdosage" prefix="cc:" structure="sequence" tag="cc:overdosage" title="4.9 Overdose "/>
    <ccp id="106067812" max="1" min="0" name="spc_49" prefix="st:" structure="sequence" tag="st:spc_49" title="Overdose heading"/>
    <ccp id="-1207790544" max="1" min="0" name="overdose_heading" prefix="hd:" structure="sequence" tag="hd:overdose_heading" title="Editable Overdose heading"/>
    <ccp id="-552771002" max="1" min="0" name="overdose_body" prefix="co:" structure="sequence" tag="co:overdose_body" title="Overdose body"/>
    <ccp id="-2101781838" max="1" min="0" name="paediatric_population" prefix="cc:" structure="sequence" tag="cc:paediatric_population" title="Paediatric overdose"/>
    <ccp id="1870106605" max="1" min="0" name="spc_49a" prefix="st:" structure="sequence" tag="st:spc_49a" title="Paediatric overdose heading"/>
    <ccp id="-1518613958" max="1" min="0" name="overdose_pediatric" prefix="hd:" structure="sequence" tag="hd:overdose_pediatric" title="Editable Paediatric overdose heading"/>
    <ccp id="106067813" max="1" min="0" name="overdose_ped_body" prefix="co:" structure="sequence" tag="co:overdose_ped_body" title="Paediatric overdose body"/>
    <ccp id="106069213" max="1" min="0" name="clinical_pharmacology" prefix="cc:" structure="sequence" tag="cc:clinical_pharmacology" title="5. Pharmacological properties"/>
    <ccp id="106069658" max="1" min="0" name="spc_5" prefix="st:" structure="sequence" tag="st:spc_5" title="Pharmacology heading"/>
    <ccp id="-1238015728" max="1" min="0" name="pharmacology_heading" prefix="hd:" structure="sequence" tag="hd:pharmacology_heading" title="Editable Pharmacology heading"/>
    <ccp id="-833759783" max="1" min="0" name="pharmacological_prop_body" prefix="co:" structure="sequence" tag="co:pharmacological_prop_body" title="Pharmacological Properties Body"/>
    <ccp id="106069662" max="1" min="0" name="pharmacodynamic_prop" prefix="cc:" structure="sequence" tag="cc:pharmacodynamic_prop" title="5.1 Pharmacodynamic properties"/>
    <ccp id="106069666" max="1" min="0" name="spc_51" prefix="st:" structure="sequence" tag="st:spc_51" title="Pharmacodynamics heading"/>
    <ccp id="-86780132" max="1" min="0" name="pharmacodynamics_prop_heading" prefix="hd:" structure="sequence" tag="hd:pharmacodynamics_prop_heading" title="Editable Pharmacodynamics heading"/>
    <ccp id="-1119062742" max="1" min="0" name="pharmcodynamic_introduction" prefix="co:" structure="sequence" tag="co:pharmcodynamic_introduction" title="Pharmacodynamic Introduction"/>
    <ccp id="388924385" max="1" min="0" name="spc_51a" prefix="st:" structure="sequence" tag="st:spc_51a" title="Pharmacotherapeutic group heading"/>
    <ccp id="176023936" max="1" min="0" name="pharmacother_group_body" prefix="co:" structure="sequence" tag="co:pharmacother_group_body" title="Pharmacotherapeutic group body"/>
    <ccp id="-239248273" max="1" min="0" name="spc_51b" prefix="st:" structure="sequence" tag="st:spc_51b" title="ATC code Heading"/>
    <ccp id="97922877" max="1" min="0" name="atc_code" prefix="co:" structure="sequence" tag="co:atc_code" title="ATC code body"/>
    <ccp id="-1648432103" max="1" min="0" name="spc_51_none" prefix="st:" structure="sequence" tag="st:spc_51_none" title="ATC code: not yet assigned"/>
    <ccp id="185791886" max="1" min="0" name="spc_51_biosimilar" prefix="st:" structure="sequence" tag="st:spc_51_biosimilar" title="Biosimilar statement"/>
    <ccp id="82342922" max="1" min="0" name="keyword_Brand_name" prefix="kw:" structure="sequence" tag="kw:keyword_Brand_name" title="Brand Name"/>
    <ccp id="755333919" max="1" min="0" name="pharmacodynamic_properties" prefix="co:" structure="sequence" tag="co:pharmacodynamic_properties" title="Pharmacodynamic properties body"/>
    <ccp id="1390694303" max="1" min="0" name="mechanism_action" prefix="cc:" structure="sequence" tag="cc:mechanism_action" title="Mechanism of action"/>
    <ccp id="106069670" max="1" min="0" name="spc_51_mech_action" prefix="st:" structure="sequence" tag="st:spc_51_mech_action" title="Mechanism of action heading"/>
    <ccp id="1940412527" max="1" min="0" name="mechanism_action_heading" prefix="hd:" structure="sequence" tag="hd:mechanism_action_heading" title="Editable Mechanism of action heading"/>
    <ccp id="1580782554" max="1" min="0" name="mechanism_action_body" prefix="co:" structure="sequence" tag="co:mechanism_action_body" title="Mechanism of action body"/>
    <ccp id="2142302206" max="1" min="0" name="pharmacodynamics" prefix="cc:" structure="sequence" tag="cc:pharmacodynamics" title="Pharmacodynamic effects"/>
    <ccp id="-1426728715" max="1" min="0" name="spc_51_pharmaco" prefix="st:" structure="sequence" tag="st:spc_51_pharmaco" title="Pharmacodynamic effects heading"/>
    <ccp id="1490371448" max="1" min="0" name="pharmacodynamic_heading" prefix="hd:" structure="sequence" tag="hd:pharmacodynamic_heading" title="Editable Pharmacodynamic effects heading"/>
    <ccp id="433024146" max="1" min="0" name="pharmacodynamic_body" prefix="co:" structure="sequence" tag="co:pharmacodynamic_body" title="Pharmacodynamic effects body"/>
    <ccp id="632449941" max="1" min="0" name="clinical_studies" prefix="cc:" structure="sequence" tag="cc:clinical_studies" title="Clinical efficacy and safety"/>
    <ccp id="-193458158" max="1" min="0" name="spc_51_clin" prefix="st:" structure="sequence" tag="st:spc_51_clin" title="Efficacy and safety heading"/>
    <ccp id="-1701855418" max="1" min="0" name="efficacy_safety_heading" prefix="hd:" structure="sequence" tag="hd:efficacy_safety_heading" title="Editable Efficacy and safety heading"/>
    <ccp id="-2048139138" max="1" min="0" name="efficacy_safety_body" prefix="co:" structure="sequence" tag="co:efficacy_safety_body" title="Clinical efficacy and safety body"/>
    <ccp id="332811554" max="1" min="0" name="paediatric_pharmacodynamics" prefix="cc:" structure="sequence" tag="cc:paediatric_pharmacodynamics" title="Paediatric population"/>
    <ccp id="-854345145" max="1" min="0" name="spc_51_ped" prefix="st:" structure="sequence" tag="st:spc_51_ped" title="Paediatric population heading"/>
    <ccp id="-1803306491" max="1" min="0" name="paediatric_heading" prefix="hd:" structure="sequence" tag="hd:paediatric_heading" title="Editable Paediatric population heading"/>
    <ccp id="1860246015" max="1" min="0" name="paediatric_body" prefix="co:" structure="sequence" tag="co:paediatric_body" title="Paediatric population body"/>
    <ccp id="106069694" max="1" min="0" name="waiver_statement" prefix="co:" structure="sequence" tag="co:waiver_statement" title="Waiver PIP statement"/>
    <ccp id="176018367" max="1" min="0" name="deferral_statement" prefix="co:" structure="sequence" tag="co:deferral_statement" title="Deferral PIP statement"/>
    <ccp id="86199892" max="1" min="0" name="conditional_approval" prefix="cc:" structure="sequence" tag="cc:conditional_approval" title="Conditional approval"/>
    <ccp id="151265265" max="1" min="0" name="spc_51_cond_a" prefix="st:" structure="sequence" tag="st:spc_51_cond_a" title="Conditional approval statement A"/>
    <ccp id="1211999225" max="1" min="0" name="spc_51_cond_b" prefix="co:" structure="sequence" tag="co:spc_51_cond_b" title="Name of EAEU Member State Authority"/>
    <ccp id="-2024929136" max="1" min="0" name="spc_51_cond_c" prefix="st:" structure="sequence" tag="st:spc_51_cond_c" title="Conditional approval statement B"/>
    <ccp id="185792021" max="1" min="0" name="authorised_rarity" prefix="cc:" structure="sequence" tag="cc:authorised_rarity" title="Authorised due to rarity of disease"/>
    <ccp id="-1227834813" max="1" min="0" name="spc_51_exc-rare_a" prefix="st:" structure="sequence" tag="st:spc_51_exc-rare_a" title="Rarity of disease statement A"/>
    <ccp id="-1559707151" max="1" min="0" name="spc_51_exc-rare_b" prefix="co:" structure="sequence" tag="co:spc_51_exc-rare_b" title="Name of EAEU Member State Authority"/>
    <ccp id="214932082" max="1" min="0" name="spc_51_exc-rare_c" prefix="st:" structure="sequence" tag="st:spc_51_exc-rare_c" title="Rarity of disease statement B"/>
    <ccp id="-1943295258" max="1" min="0" name="authorised_scientific" prefix="cc:" structure="sequence" tag="cc:authorised_scientific" title="Authorised for scientific reasons"/>
    <ccp id="1689172223" max="1" min="0" name="spc_51_exc-science_a" prefix="st:" structure="sequence" tag="st:spc_51_exc-science_a" title="Scientific reasons statement A"/>
    <ccp id="1065694580" max="1" min="0" name="spc_51_exc-science_b" prefix="co:" structure="sequence" tag="co:spc_51_exc-science_b" title="Name of EAEU Member State Authority"/>
    <ccp id="-1841464082" max="1" min="0" name="spc_51_exc-science_c" prefix="st:" structure="sequence" tag="st:spc_51_exc-science_c" title="Scientific reasons statement B"/>
    <ccp id="-339235364" max="1" min="0" name="authorised_ethical" prefix="cc:" structure="sequence" tag="cc:authorised_ethical" title="Authorised for ethical reasons"/>
    <ccp id="1090591656" max="1" min="0" name="spc_51_exc-ethics_a" prefix="st:" structure="sequence" tag="st:spc_51_exc-ethics_a" title="Ethical reasons statement A"/>
    <ccp id="523604281" max="1" min="0" name="spc_51_exc-ethics_b" prefix="co:" structure="sequence" tag="co:spc_51_exc-ethics_b" title="Name of EAEU Member State Authority"/>
    <ccp id="-1637867288" max="1" min="0" name="spc_51_exc-ethics_c" prefix="st:" structure="sequence" tag="st:spc_51_exc-ethics_c" title="Ethical reasons statement B"/>
    <ccp id="176018413" max="1" min="0" name="pharmacokinetics" prefix="cc:" structure="sequence" tag="cc:pharmacokinetics" title="5.2 Pharmacokinetics"/>
    <ccp id="176018391" max="1" min="0" name="spc_52" prefix="st:" structure="sequence" tag="st:spc_52" title="Pharmacokinetics heading"/>
    <ccp id="413369089" max="1" min="0" name="pharmacokinetics_heading" prefix="hd:" structure="sequence" tag="hd:pharmacokinetics_heading" title="Editable Pharmacokinetics heading"/>
    <ccp id="176018427" max="1" min="0" name="pharmacokinetic_body" prefix="co:" structure="sequence" tag="co:pharmacokinetic_body" title="Pharmacokinetics body"/>
    <ccp id="-380398675" max="1" min="0" name="absorption" prefix="cc:" structure="sequence" tag="cc:absorption" title="Absorption"/>
    <ccp id="-1115285862" max="1" min="0" name="spc_52_absorption" prefix="st:" structure="sequence" tag="st:spc_52_absorption" title="Absorption heading"/>
    <ccp id="-812711889" max="1" min="0" name="absorption" prefix="hd:" structure="sequence" tag="hd:absorption" title="Editable Absorption heading"/>
    <ccp id="1860705430" max="1" min="0" name="aborsorption_body" prefix="co:" structure="sequence" tag="co:aborsorption_body" title="Absorption body"/>
    <ccp id="1578329747" max="1" min="0" name="distribution" prefix="cc:" structure="sequence" tag="cc:distribution" title="Distribution"/>
    <ccp id="-1924867835" max="1" min="0" name="spc_52_distribution" prefix="st:" structure="sequence" tag="st:spc_52_distribution" title="Distribution heading"/>
    <ccp id="89049221" max="1" min="0" name="distribution" prefix="hd:" structure="sequence" tag="hd:distribution" title="Editable Distribution heading"/>
    <ccp id="1388072421" max="1" min="0" name="distribution_body" prefix="co:" structure="sequence" tag="co:distribution_body" title="Distribution body"/>
    <ccp id="-371543734" max="1" min="0" name="spc_52_biotransformation" prefix="cc:" structure="sequence" tag="cc:spc_52_biotransformation" title="Biotransformation"/>
    <ccp id="-556702903" max="1" min="0" name="spc_52_biotransformation" prefix="st:" structure="sequence" tag="st:spc_52_biotransformation" title="Biotransformation  heading"/>
    <ccp id="1957445732" max="1" min="0" name="biotransformation" prefix="hd:" structure="sequence" tag="hd:biotransformation" title="Editable Biotransformation heading"/>
    <ccp id="-229931293" max="1" min="0" name="biotransformation_body" prefix="co:" structure="sequence" tag="co:biotransformation_body" title="Biotransformation body"/>
    <ccp id="229819059" max="1" min="0" name="elimination" prefix="cc:" structure="sequence" tag="cc:elimination" title="Elimination "/>
    <ccp id="-367519634" max="1" min="0" name="spc_52_elimination" prefix="st:" structure="sequence" tag="st:spc_52_elimination" title="Elimination  heading"/>
    <ccp id="1332106097" max="1" min="0" name="elimination" prefix="hd:" structure="sequence" tag="hd:elimination" title="Editable Elimination heading"/>
    <ccp id="959002968" max="1" min="0" name="elimination_body" prefix="co:" structure="sequence" tag="co:elimination_body" title="Elimination body"/>
    <ccp id="1141224860" max="1" min="0" name="linearitynon-linearity" prefix="cc:" structure="sequence" tag="cc:linearitynon-linearity" title="Linearity/non-linearity"/>
    <ccp id="-1712567870" max="1" min="0" name="spc_52_linearity" prefix="st:" structure="sequence" tag="st:spc_52_linearity" title="Linearity/non-linearity heading"/>
    <ccp id="558291337" max="1" min="0" name="linearity_non_linearity" prefix="hd:" structure="sequence" tag="hd:linearity_non_linearity" title="Editable Linearity/non-linearity heading"/>
    <ccp id="400333907" max="1" min="0" name="linearity_body" prefix="co:" structure="sequence" tag="co:linearity_body" title="Linearity/non-linearity body"/>
    <ccp id="1762415231" max="1" min="0" name="pharma_dynamic_rel" prefix="cc:" structure="sequence" tag="cc:pharma_dynamic_rel" title="pharmacokinetic/pharmacodynamic relationship "/>
    <ccp id="-1981298605" max="1" min="0" name="spc_52_relationship" prefix="st:" structure="sequence" tag="st:spc_52_relationship" title="Pharmacokinetic/pharmacodynamic relationship heading"/>
    <ccp id="-963581039" max="1" min="0" name="kinetic_dynamic_relationship" prefix="hd:" structure="sequence" tag="hd:kinetic_dynamic_relationship" title="Editable Pharmacokinetic/pharmacodynamic relationship heading"/>
    <ccp id="-1400208110" max="1" min="0" name="pharma_dynamic_rel_body" prefix="co:" structure="sequence" tag="co:pharma_dynamic_rel_body" title="Pharmacokinetic/pharmacodynamic relationship body"/>
    <ccp id="-1778707391" max="1" min="0" name="other_pharmacokinetic" prefix="co:" structure="sequence" tag="co:other_pharmacokinetic" title="Other pharmacokinetic properties body"/>
    <ccp id="176018492" max="1" min="0" name="nonclinical_toxicology" prefix="cc:" structure="sequence" tag="cc:nonclinical_toxicology" title="5.3 Preclinical safety"/>
    <ccp id="176018450" max="1" min="0" name="spc_53" prefix="st:" structure="sequence" tag="st:spc_53" title="Preclinical safety heading"/>
    <ccp id="1164895449" max="1" min="0" name="preclinical_safety_heading" prefix="hd:" structure="sequence" tag="hd:preclinical_safety_heading" title="Editable Preclinical safety heading"/>
    <ccp id="930551239" max="1" min="0" name="preclinical_introduction" prefix="co:" structure="sequence" tag="co:preclinical_introduction" title="Preclinical Safety Introduction"/>
    <ccp id="-1068652424" max="1" min="0" name="spc_53_none" prefix="st:" structure="sequence" tag="st:spc_53_none" title="No hazard statement"/>
    <ccp id="909424103" max="1" min="0" name="spc_53_exposure" prefix="st:" structure="sequence" tag="st:spc_53_exposure" title="Excess exposure statement"/>
    <ccp id="1986656204" max="1" min="0" name="spc_53_animal" prefix="st:" structure="sequence" tag="st:spc_53_animal" title="Adverse reactions in animals statement"/>
    <ccp id="176018519" max="1" min="0" name="preclinical_safety_body" prefix="co:" structure="sequence" tag="co:preclinical_safety_body" title="Preclinical safety data body"/>
    <ccp id="176021724" max="1" min="0" name="environmental_warning" prefix="cc:" structure="sequence" tag="cc:environmental_warning" title="Environmental risk assessment"/>
    <ccp id="176021725" max="1" min="0" name="spc_53a" prefix="st:" structure="sequence" tag="st:spc_53a" title="Environmental risk assessment heading"/>
    <ccp id="-846168718" max="1" min="0" name="era_heading" prefix="hd:" structure="sequence" tag="hd:era_heading" title="Editable Environmental risk assessment heading"/>
    <ccp id="176021726" max="1" min="0" name="era_body" prefix="co:" structure="sequence" tag="co:era_body" title="Environmental risk assessment body"/>
    <ccp id="106069787" max="1" min="0" name="pharmaceutical_particulars" prefix="cc:" structure="sequence" tag="cc:pharmaceutical_particulars" title="6. Pharmaceutical particulars"/>
    <ccp id="176018530" max="1" min="0" name="spc_6" prefix="st:" structure="sequence" tag="st:spc_6" title="Pharmaceutical particulars heading"/>
    <ccp id="2077545919" max="1" min="0" name="pharma_particulars_heading" prefix="hd:" structure="sequence" tag="hd:pharma_particulars_heading" title="Editable Pharmaceutical particulars heading"/>
    <ccp id="1541868853" max="1" min="0" name="pharma_particulars_intro" prefix="co:" structure="sequence" tag="co:pharma_particulars_intro" title="Pharmaceutical Particulars Introduction"/>
    <ccp id="176018545" max="1" min="0" name="inactive_ingredients" prefix="cc:" structure="sequence" tag="cc:inactive_ingredients" title="6.1 List of excipients"/>
    <ccp id="176018536" max="1" min="0" name="spc_61" prefix="st:" structure="sequence" tag="st:spc_61" title="List of excipients heading"/>
    <ccp id="-388954660" max="1" min="0" name="inactive_ingredients_heading" prefix="hd:" structure="sequence" tag="hd:inactive_ingredients_heading" title="Editable List of excipients heading"/>
    <ccp id="-1699619116" max="1" min="0" name="spc_61_none" prefix="st:" structure="sequence" tag="st:spc_61_none" title="No excipients"/>
    <ccp id="176018551" max="1" min="0" name="inactive_ingredients_body" prefix="co:" structure="sequence" tag="co:inactive_ingredients_body" title="List of excipients body"/>
    <ccp id="176018581" max="1" min="0" name="incompatibilities" prefix="cc:" structure="sequence" tag="cc:incompatibilities" title="6.2 Incompatibilities"/>
    <ccp id="176018569" max="1" min="0" name="spc_62" prefix="st:" structure="sequence" tag="st:spc_62" title="Incompatibilities heading"/>
    <ccp id="867870118" max="1" min="0" name="incompatibilities_heading" prefix="hd:" structure="sequence" tag="hd:incompatibilities_heading" title="Editable Incompatibilities heading"/>
    <ccp id="129452515" max="1" min="0" name="spc_62_na" prefix="st:" structure="sequence" tag="st:spc_62_na" title="Not applicable"/>
    <ccp id="-787122023" max="1" min="0" name="spc_62_not_mix" prefix="st:" structure="sequence" tag="st:spc_62_not_mix" title="Do not mix"/>
    <ccp id="713700224" max="1" min="0" name="spc_62_not_mix_66" prefix="st:" structure="sequence" tag="st:spc_62_not_mix_66" title="Do not mix 6.6"/>
    <ccp id="-938671264" max="1" min="0" name="spc_62_not_mix_66_12" prefix="st:" structure="sequence" tag="st:spc_62_not_mix_66_12" title="Do not mix 6.6 and 12"/>
    <ccp id="1558277651" max="1" min="0" name="spc_62_not_mix_12" prefix="st:" structure="sequence" tag="st:spc_62_not_mix_12" title="Do not mix 12"/>
    <ccp id="176018590" max="1" min="0" name="incompatibility_body" prefix="co:" structure="sequence" tag="co:incompatibility_body" title="Incompatibilities body"/>
    <ccp id="176018620" max="1" min="0" name="shelf_life" prefix="cc:" structure="sequence" tag="cc:shelf_life" title="6.3 Shelf life"/>
    <ccp id="176018630" max="1" min="0" name="spc_63" prefix="st:" structure="sequence" tag="st:spc_63" title="Shelf life heading"/>
    <ccp id="1658179047" max="1" min="0" name="shelf_life_heading" prefix="hd:" structure="sequence" tag="hd:shelf_life_heading" title="Editable Shelf life heading"/>
    <ccp id="176018634" max="1" min="0" name="spc_63_6m" prefix="st:" structure="sequence" tag="st:spc_63_6m" title="Shelf life 6 months"/>
    <ccp id="176018640" max="1" min="0" name="spc_63_1y" prefix="st:" structure="sequence" tag="st:spc_63_1y" title="Shelf life 1 year"/>
    <ccp id="176018648" max="1" min="0" name="spc_63_18m" prefix="st:" structure="sequence" tag="st:spc_63_18m" title="Shelf life 18 months"/>
    <ccp id="176018658" max="1" min="0" name="spc_63_2y" prefix="st:" structure="sequence" tag="st:spc_63_2y" title="Shelf life 2 years"/>
    <ccp id="176018846" max="1" min="0" name="spc_63_30m" prefix="st:" structure="sequence" tag="st:spc_63_30m" title="Shelf life 30 months"/>
    <ccp id="1904715044" max="1" min="0" name="spc_63_3y" prefix="st:" structure="sequence" tag="st:spc_63_3y" title="Shelf life 3 years"/>
    <ccp id="1213232296" max="1" min="0" name="shelf_life_body" prefix="co:" structure="sequence" tag="co:shelf_life_body" title="Shelf life body"/>
    <ccp id="176018920" max="1" min="0" name="storage" prefix="cc:" structure="sequence" tag="cc:storage" title="6.4 Storage "/>
    <ccp id="176018937" max="1" min="0" name="spc_64" prefix="st:" structure="sequence" tag="st:spc_64" title="Storage heading"/>
    <ccp id="626052839" max="1" min="0" name="storage_heading" prefix="hd:" structure="sequence" tag="hd:storage_heading" title="Editable Storage heading"/>
    <ccp id="-2029166861" max="1" min="0" name="spc_64a_reconstituted" prefix="st:" structure="sequence" tag="st:spc_64a_reconstituted" title="Storage conditions after reconstitution"/>
    <ccp id="1154256132" max="1" min="0" name="spc_64a_diluted" prefix="st:" structure="sequence" tag="st:spc_64a_diluted" title="Storage conditions after dilution"/>
    <ccp id="380289360" max="1" min="0" name="spc_64a_opening" prefix="st:" structure="sequence" tag="st:spc_64a_opening" title="Storage conditions after first opening"/>
    <ccp id="-519692078" max="1" min="0" name="storage_body" prefix="co:" structure="sequence" tag="co:storage_body" title="Storage body"/>
    <ccp id="176018980" max="1" min="0" name="how_supplied" prefix="cc:" structure="sequence" tag="cc:how_supplied" title="6.5 Nature and contents of container"/>
    <ccp id="176018981" max="1" min="0" name="spc_65_short" prefix="st:" structure="sequence" tag="st:spc_65_short" title="Nature and contents of container heading"/>
    <ccp id="-576979762" max="1" min="0" name="spc_65_long" prefix="st:" structure="sequence" tag="st:spc_65_long" title="Nature and contents of container and special equipment heading"/>
    <ccp id="985895857" max="1" min="0" name="contents_heading" prefix="hd:" structure="sequence" tag="hd:contents_heading" title="Editable Nature and contents of container heading"/>
    <ccp id="176018985" max="1" min="0" name="container_body" prefix="co:" structure="sequence" tag="co:container_body" title=" Nature and contents of container body"/>
    <ccp id="635068243" max="1" min="0" name="spc_65a" prefix="st:" structure="sequence" tag="st:spc_65a" title="Not all pack sizes may be marketed"/>
    <ccp id="-1404673802" max="1" min="0" name="nature_contents_end" prefix="co:" structure="sequence" tag="co:nature_contents_end" title="Nature and Contents End Body"/>
    <ccp id="176019064" max="1" min="0" name="disposal_waste" prefix="cc:" structure="sequence" tag="cc:disposal_waste" title="6.6 Special precautions for disposal "/>
    <ccp id="176019089" max="1" min="0" name="spc_66_short" prefix="st:" structure="sequence" tag="st:spc_66_short" title="Disposal heading"/>
    <ccp id="-955406505" max="1" min="0" name="spc_66_long" prefix="st:" structure="sequence" tag="st:spc_66_long" title="Disposal and handling heading"/>
    <ccp id="-1505588275" max="1" min="0" name="disposal_heading" prefix="hd:" structure="sequence" tag="hd:disposal_heading" title="Editable Disposal heading"/>
    <ccp id="832727682" max="1" min="0" name="disposal_body" prefix="co:" structure="sequence" tag="co:disposal_body" title="Special precautions for disposal  body"/>
    <ccp id="1522048659" max="1" min="0" name="disposal_paediatric" prefix="cc:" structure="sequence" tag="cc:disposal_paediatric" title="Disposal for paediatric populations"/>
    <ccp id="-7913933" max="1" min="0" name="st:spc_66a" prefix="st:" structure="sequence" tag="st:st:spc_66a" title="Disposal paediatic use heading"/>
    <ccp id="1923985074" max="1" min="0" name="disposal_paediatirc" prefix="hd:" structure="sequence" tag="hd:disposal_paediatirc" title="Editable Disposal paediatric use heading"/>
    <ccp id="649559688" max="1" min="0" name="disposal_paediatric_body" prefix="co:" structure="sequence" tag="co:disposal_paediatric_body" title="Disposal for paediatric populations body"/>
    <ccp id="176019145" max="1" min="0" name="spc_66b_none" prefix="st:" structure="sequence" tag="st:spc_66b_none" title="No special requirements"/>
    <ccp id="176019153" max="1" min="0" name="spc_66b_disposal" prefix="st:" structure="sequence" tag="st:spc_66b_disposal" title="No special requirements for disposal"/>
    <ccp id="1737734695" max="1" min="0" name="spc_66b_unused" prefix="st:" structure="sequence" tag="st:spc_66b_unused" title="Dispose as per local requirements"/>
    <ccp id="-749337800" max="1" min="0" name="disposal_end_body" prefix="co:" structure="sequence" tag="co:disposal_end_body" title="Disposal End Body"/>
    <ccp id="176019202" max="1" min="0" name="holder_section" prefix="cc:" structure="sequence" tag="cc:holder_section" title="7. Marketing authorisation holder"/>
    <ccp id="176019203" max="1" min="0" name="spc_7" prefix="st:" structure="sequence" tag="st:spc_7" title="Marketing authorisation heading"/>
    <ccp id="1068927034" max="1" min="0" name="marketing_auth_hold_heading" prefix="hd:" structure="sequence" tag="hd:marketing_auth_hold_heading" title="Editable Marketing authorisation heading"/>
    <ccp id="176019326" max="1" min="0" name="marketing_auth_body" prefix="co:" structure="sequence" tag="co:marketing_auth_body" title="Marketing authorisation holder body"/>
    <ccp id="1509475625" max="1" min="0" name="holder_information" prefix="cc:" structure="sequence" tag="cc:holder_information" title="Authorisation holder representative"/>
    <ccp id="-1512748484" max="1" min="0" name="holder_information_st" prefix="st:" structure="sequence" tag="st:holder_information_st" title="Authorisation holder representative Heading"/>
    <ccp id="1866873065" max="1" min="0" name="holder_information_hd" prefix="hd:" structure="sequence" tag="hd:holder_information_hd" title="Editable Authorisation holder representative Heading"/>
    <ccp id="1012955941" max="1" min="0" name="holder_information_body" prefix="co:" structure="sequence" tag="co:holder_information_body" title="Authorisation holder representative Body"/>
    <ccp id="176019815" max="1" min="0" name="registration_section" prefix="cc:" structure="sequence" tag="cc:registration_section" title="8. Marketing authorisation number"/>
    <ccp id="176019946" max="1" min="0" name="spc_8_singular" prefix="st:" structure="sequence" tag="st:spc_8_singular" title="Marketing authorisation number heading (singular)"/>
    <ccp id="463466153" max="1" min="0" name="spc_8_plural" prefix="st:" structure="sequence" tag="st:spc_8_plural" title="Marketing authorisation number heading (Plural)"/>
    <ccp id="58218145" max="1" min="0" name="marketing_auth_no_heading" prefix="hd:" structure="sequence" tag="hd:marketing_auth_no_heading" title="Editable Marketing authorisation number heading"/>
    <ccp id="1319004626" max="1" min="0" name="marketing_auth_no" prefix="co:" structure="sequence" tag="co:marketing_auth_no" title="Marketing authorisation number body"/>
    <ccp id="176020075" max="1" min="0" name="authorisation_date" prefix="cc:" structure="sequence" tag="cc:authorisation_date" title="9. Date of first authorisation"/>
    <ccp id="176020200" max="1" min="0" name="spc_9" prefix="st:" structure="sequence" tag="st:spc_9" title="Authorisation date heading"/>
    <ccp id="340282849" max="1" min="0" name="authorisation_date_heading" prefix="hd:" structure="sequence" tag="hd:authorisation_date_heading" title="Editable Authorisation date heading"/>
    <ccp id="-885104324" max="1" min="0" name="spc_9a" prefix="st:" structure="sequence" tag="st:spc_9a" title="Date of first authorisation statement"/>
    <ccp id="-489790601" max="1" min="0" name="first_auth_date_body" prefix="co:" structure="sequence" tag="co:first_auth_date_body" title="Date of first authorisation body"/>
    <ccp id="1276365345" max="1" min="0" name="spc_9b" prefix="st:" structure="sequence" tag="st:spc_9b" title="Date of latest renewal statement"/>
    <ccp id="886923511" max="1" min="0" name="latest_auth_date_body" prefix="co:" structure="sequence" tag="co:latest_auth_date_body" title="Date of latest renewal body"/>
    <ccp id="-546994246" max="1" min="0" name="authorisation_body" prefix="co:" structure="sequence" tag="co:authorisation_body" title="Date of first authorisation body"/>
    <ccp id="176020335" max="1" min="0" name="revision_section" prefix="cc:" structure="sequence" tag="cc:revision_section" title="10. Date of revision"/>
    <ccp id="176020464" max="1" min="0" name="spc_10" prefix="st:" structure="sequence" tag="st:spc_10" title="Revision date heading"/>
    <ccp id="-739093562" max="1" min="0" name="revision_date_heading" prefix="hd:" structure="sequence" tag="hd:revision_date_heading" title="Editable Revision date heading"/>
    <ccp id="1267809837" max="1" min="0" name="revision_date_body" prefix="co:" structure="sequence" tag="co:revision_date_body" title=" Date of revision body "/>
    <ccp id="176020861" max="1" min="0" name="dosimetry_section" prefix="cc:" structure="sequence" tag="cc:dosimetry_section" title="11. Dosimetry "/>
    <ccp id="176020862" max="1" min="0" name="spc_11" prefix="st:" structure="sequence" tag="st:spc_11" title="Dosimetry heading"/>
    <ccp id="1431859324" max="1" min="0" name="dosimetry" prefix="hd:" structure="sequence" tag="hd:dosimetry" title="Editable Dosimetry heading"/>
    <ccp id="176020999" max="1" min="0" name="dosimetry_body" prefix="co:" structure="sequence" tag="co:dosimetry_body" title="Dosimetry body"/>
    <ccp id="176021542" max="1" min="0" name="instructions_radiopharm" prefix="cc:" structure="sequence" tag="cc:instructions_radiopharm" title="12. Instructions for radiopharmaceuticals"/>
    <ccp id="176021679" max="1" min="0" name="spc_12" prefix="st:" structure="sequence" tag="st:spc_12" title="Radiopharmaceuticals heading"/>
    <ccp id="954833870" max="1" min="0" name="radiopharm_heading" prefix="hd:" structure="sequence" tag="hd:radiopharm_heading" title="Editable Radiopharmaceuticals heading"/>
    <ccp id="176021683" max="1" min="0" name="instructions_radiopharm" prefix="co:" structure="sequence" tag="co:instructions_radiopharm" title="Instructions for radiopharmaceuticals body"/>
    <ccp id="1727641350" max="1" min="0" name="spc_12a" prefix="st:" structure="sequence" tag="st:spc_12a" title="Radiopharmaceutical disposal statement"/>
    <ccp id="531612673" max="1" min="0" name="spc_end_wrap" prefix="cc:" structure="sequence" tag="cc:spc_end_wrap" title="SPC see website statement"/>
    <ccp id="176021272" max="1" min="0" name="spc_end" prefix="st:" structure="sequence" tag="st:spc_end" title="SPC see website statement Heading"/>
    <ccp id="-1461183322" max="1" min="0" name="keyword_Brand_name" prefix="kw:" structure="sequence" tag="kw:keyword_Brand_name" title="Brand Name"/>
    <ccp id="-1412610276" max="1" min="0" name="spc_end_body" prefix="co:" structure="sequence" tag="co:spc_end_body" title="SPC Authority Website"/>
    <ccp id="-2142797868" max="1" min="0" name="spc_end1" prefix="st:" structure="sequence" tag="st:spc_end1" title="SPC see website statement 2 Heading"/>
    <ccp id="1049875929" max="1" min="0" name="spc_end_body1" prefix="co:" structure="sequence" tag="co:spc_end_body1" title="SPC Agency Website"/>
    <ccp id="7734268" max="1" min="0" name="spc_end_end" prefix="st:" structure="sequence" tag="st:spc_end_end" title="SPC see website statement end"/>
    <ccp id="-1843765316" max="1" min="0" name="spc_final_end" prefix="co:" structure="sequence" tag="co:spc_final_end" title="SPC Final End"/>
    <ccp max="1" min="0" name="generic_section" prefix="cc:" tag="cc:section" title="Generic Section"/>
  </element_properties>
  <i4i_definitions>
    <element tag="cc:i4iroot" title="ERS-Prescriber">
      <metaprop name="children" value="co:spc_title,cc:additional_monitoring,cc:statement_of_identity,cc:qualitative_quantitative_comp,cc:dosage_form_strength,cc:clinical_particulars,cc:clinical_pharmacology,cc:pharmaceutical_particulars,cc:holder_section,cc:registration_section,cc:authorisation_date,cc:revision_section,cc:dosimetry_section,cc:instructions_radiopharm,cc:spc_end_wrap,co:spc_final_end,"/>
      <metaprop name="parent" value=""/>
    </element>
    <element tag="co:spc_title" title="Document Title">
      <metaprop name="children" value=""/>
      <metaprop name="parent" value="cc:i4iroot"/>
    </element>
    <element tag="cc:additional_monitoring" title="Additional monitoring">
      <metaprop name="children" value="st:symbol,st:spc_0,"/>
      <metaprop name="parent" value=""/>
    </element>
    <element tag="st:symbol" title="Black Triangle">
      <metaprop name="children" value=""/>
      <metaprop name="parent" value="cc:additional_monitoring"/>
    </element>
    <element tag="st:spc_0" title="Additional monitoring statement">
      <metaprop name="children" value=""/>
      <metaprop name="parent" value="cc:additional_monitoring"/>
    </element>
    <element tag="cc:statement_of_identity" title="1. Name of the medicinal product">
      <metaprop name="children" value="st:spc_1,hd:state_of_ident_heading,co:statement_of_identity_body,"/>
      <metaprop name="parent" value="cc:i4iroot"/>
    </element>
    <element tag="st:spc_1" title="Product name heading">
      <metaprop name="children" value=""/>
      <metaprop name="parent" value=""/>
    </element>
    <element tag="hd:state_of_ident_heading" title="Editable Product name heading">
      <metaprop name="children" value=""/>
      <metaprop name="parent" value="cc:statement_of_identity"/>
    </element>
    <element tag="co:statement_of_identity_body" title="Name of the medicinal product body">
      <metaprop name="children" value=""/>
      <metaprop name="parent" value="cc:statement_of_identity"/>
    </element>
    <element tag="cc:qualitative_quantitative_comp" title="2. Qualitative and quantitative composition">
      <metaprop name="children" value="st:spc_2,hd:composition_heading,co:composition_intro,cc:description,cc:composition,cc:excipients,"/>
      <metaprop name="parent" value="cc:i4iroot"/>
    </element>
    <element tag="st:spc_2" title="Composition section heading">
      <metaprop name="children" value=""/>
      <metaprop name="parent" value=""/>
    </element>
    <element tag="hd:composition_heading" title="Editable Composition section heading">
      <metaprop name="children" value=""/>
      <metaprop name="parent" value="cc:qualitative_quantitative_comp"/>
    </element>
    <element tag="co:composition_intro" title="General qualitative and quantitative composition body">
      <metaprop name="children" value=""/>
      <metaprop name="parent" value="cc:qualitative_quantitative_comp"/>
    </element>
    <element tag="cc:description" title="2.1 General description ">
      <metaprop name="children" value="st:spc_21,hd:description_heading,co:composition_description_body,"/>
      <metaprop name="parent" value="cc:qualitative_quantitative_comp"/>
    </element>
    <element tag="st:spc_21" title="General description heading">
      <metaprop name="children" value=""/>
      <metaprop name="parent" value=""/>
    </element>
    <element tag="hd:description_heading" title="Editable General description heading">
      <metaprop name="children" value=""/>
      <metaprop name="parent" value="cc:description"/>
    </element>
    <element tag="co:composition_description_body" title="Composition description">
      <metaprop name="children" value=""/>
      <metaprop name="parent" value="cc:description"/>
    </element>
    <element tag="cc:composition" title="2.2 Qualitative and quantitative composition ">
      <metaprop name="children" value="st:spc_22,hd:qual_composition_heading,co:qual_composition_body,"/>
      <metaprop name="parent" value="cc:qualitative_quantitative_comp"/>
    </element>
    <element tag="st:spc_22" title="Qualitative and quantitative composition heading">
      <metaprop name="children" value=""/>
      <metaprop name="parent" value=""/>
    </element>
    <element tag="hd:qual_composition_heading" title="Editable Qualitative and quantitative composition heading">
      <metaprop name="children" value=""/>
      <metaprop name="parent" value="cc:composition"/>
    </element>
    <element tag="co:qual_composition_body" title="Composition body">
      <metaprop name="children" value=""/>
      <metaprop name="parent" value="cc:composition"/>
    </element>
    <element tag="cc:excipients" title="Excipients">
      <metaprop name="children" value="st:spc_22a,hd:excipients_heading,co:excipient_body,st:spc_2a,co:excipients_end_body,"/>
      <metaprop name="parent" value="cc:qualitative_quantitative_comp"/>
    </element>
    <element tag="st:spc_22a" title="Excipients heading">
      <metaprop name="children" value=""/>
      <metaprop name="parent" value=""/>
    </element>
    <element tag="hd:excipients_heading" title="Editable Excipients heading">
      <metaprop name="children" value=""/>
      <metaprop name="parent" value="cc:excipients"/>
    </element>
    <element tag="co:excipient_body" title="Excipients body">
      <metaprop name="children" value=""/>
      <metaprop name="parent" value="cc:excipients"/>
    </element>
    <element tag="st:spc_2a" title="Full list of excipients xref">
      <metaprop name="children" value=""/>
      <metaprop name="parent" value=""/>
    </element>
    <element tag="co:excipients_end_body" title="Excipients End Body">
      <metaprop name="children" value=""/>
      <metaprop name="parent" value="cc:excipients"/>
    </element>
    <element tag="cc:dosage_form_strength" title="3. Pharmaceutical form">
      <metaprop name="children" value="st:spc_3,hd:dosage_form_heading,st:spc_3a,st:spc_3b,st:spc_3c,co:dosage_form_body,"/>
      <metaprop name="parent" value="cc:i4iroot"/>
    </element>
    <element tag="st:spc_3" title="Pharmaceutical form heading">
      <metaprop name="children" value=""/>
      <metaprop name="parent" value=""/>
    </element>
    <element tag="hd:dosage_form_heading" title="Editable Pharmaceutical form heading">
      <metaprop name="children" value=""/>
      <metaprop name="parent" value="cc:dosage_form_strength"/>
    </element>
    <element tag="st:spc_3a" title="Scoring info (not for equal doses)">
      <metaprop name="children" value=""/>
      <metaprop name="parent" value="cc:dosage_form_strength"/>
    </element>
    <element tag="st:spc_3b" title="Scoring info (not for breaking tablet)">
      <metaprop name="children" value=""/>
      <metaprop name="parent" value="cc:dosage_form_strength"/>
    </element>
    <element tag="st:spc_3c" title="Equal dose (use for equal doses)">
      <metaprop name="children" value=""/>
      <metaprop name="parent" value="cc:dosage_form_strength"/>
    </element>
    <element tag="co:dosage_form_body" title="Pharmaceutical form body">
      <metaprop name="children" value=""/>
      <metaprop name="parent" value="cc:dosage_form_strength"/>
    </element>
    <element tag="cc:clinical_particulars" title="4. Clinical particulars">
      <metaprop name="children" value="st:spc_4,hd:clinical_particulars_heading,co:clinical_particulars_intro,cc:indications,cc:dosage_admin,cc:contraindications,cc:warnings_precautions,cc:interactions,cc:pregnancy_lactation,cc:precautions_general,cc:adverse_effects,cc:overdosage,"/>
      <metaprop name="parent" value="cc:i4iroot"/>
    </element>
    <element tag="st:spc_4" title="Clinical particulars heading">
      <metaprop name="children" value=""/>
      <metaprop name="parent" value=""/>
    </element>
    <element tag="hd:clinical_particulars_heading" title="Editable Clinical particulars heading">
      <metaprop name="children" value=""/>
      <metaprop name="parent" value="cc:clinical_particulars"/>
    </element>
    <element tag="co:clinical_particulars_intro" title="Clinical Particulars Introduction">
      <metaprop name="children" value=""/>
      <metaprop name="parent" value="cc:clinical_particulars"/>
    </element>
    <element tag="cc:indications" title="4.1 Therapeutic indications">
      <metaprop name="children" value="st:spc_41,hd:indications_heading,st:spc_41a,st:spc_41b,st:spc_41c,st:spc_41d,st:spc_41e,st:spc_41f,co:indications_body,"/>
      <metaprop name="parent" value="cc:clinical_particulars"/>
    </element>
    <element tag="st:spc_41" title="Therapeutic indications heading">
      <metaprop name="children" value=""/>
      <metaprop name="parent" value=""/>
    </element>
    <element tag="hd:indications_heading" title="Editable Therapeutic indications heading">
      <metaprop name="children" value=""/>
      <metaprop name="parent" value="cc:indications"/>
    </element>
    <element tag="st:spc_41a" title="Diagnostic use only">
      <metaprop name="children" value=""/>
      <metaprop name="parent" value="cc:indications"/>
    </element>
    <element tag="st:spc_41b" title="Indications adult">
      <metaprop name="children" value="kw:keyword_Brand_name,"/>
      <metaprop name="parent" value="cc:indications"/>
    </element>
    <element tag="kw:keyword_Brand_name" title="Brand Name">
      <metaprop name="children" value=""/>
      <metaprop name="parent" value=""/>
    </element>
    <element tag="st:spc_41c" title="Indications neonates">
      <metaprop name="children" value="kw:keyword_Brand_name,"/>
      <metaprop name="parent" value="cc:indications"/>
    </element>
    <element tag="kw:keyword_Brand_name" title="Brand Name">
      <metaprop name="children" value=""/>
      <metaprop name="parent" value=""/>
    </element>
    <element tag="st:spc_41d" title="Indications infants">
      <metaprop name="children" value="kw:keyword_Brand_name,"/>
      <metaprop name="parent" value="cc:indications"/>
    </element>
    <element tag="kw:keyword_Brand_name" title="Brand Name">
      <metaprop name="children" value=""/>
      <metaprop name="parent" value=""/>
    </element>
    <element tag="st:spc_41e" title="Indications children">
      <metaprop name="children" value="kw:keyword_Brand_name,"/>
      <metaprop name="parent" value="cc:indications"/>
    </element>
    <element tag="kw:keyword_Brand_name" title="Brand Name">
      <metaprop name="children" value=""/>
      <metaprop name="parent" value=""/>
    </element>
    <element tag="st:spc_41f" title="Indications adolescents">
      <metaprop name="children" value="kw:keyword_Brand_name,"/>
      <metaprop name="parent" value="cc:indications"/>
    </element>
    <element tag="kw:keyword_Brand_name" title="Brand Name">
      <metaprop name="children" value=""/>
      <metaprop name="parent" value=""/>
    </element>
    <element tag="co:indications_body" title="Therapeutic indications body">
      <metaprop name="children" value=""/>
      <metaprop name="parent" value="cc:indications"/>
    </element>
    <element tag="cc:dosage_admin" title="4.2 Posology and method of administration">
      <metaprop name="children" value="st:spc_42,hd:dosage_and_admin_heading,co:dosage_admin_body,cc:posology_target_population,cc:paediatric_use,cc:administration_section,"/>
      <metaprop name="parent" value="cc:clinical_particulars"/>
    </element>
    <element tag="st:spc_42" title="Posology and method of administration heading">
      <metaprop name="children" value=""/>
      <metaprop name="parent" value=""/>
    </element>
    <element tag="hd:dosage_and_admin_heading" title="Editable Posology and method of administration heading">
      <metaprop name="children" value=""/>
      <metaprop name="parent" value="cc:dosage_admin"/>
    </element>
    <element tag="co:dosage_admin_body" title="Posology and method of administration body">
      <metaprop name="children" value=""/>
      <metaprop name="parent" value="cc:dosage_admin"/>
    </element>
    <element tag="cc:posology_target_population" title="Posology target population">
      <metaprop name="children" value="st:spc_42a,hd:posology_heading,co:posology_body,"/>
      <metaprop name="parent" value="cc:dosage_admin"/>
    </element>
    <element tag="st:spc_42a" title="Posology heading">
      <metaprop name="children" value=""/>
      <metaprop name="parent" value=""/>
    </element>
    <element tag="hd:posology_heading" title="Editable Posology heading">
      <metaprop name="children" value=""/>
      <metaprop name="parent" value="cc:posology_target_population"/>
    </element>
    <element tag="co:posology_body" title="Posology target population body">
      <metaprop name="children" value=""/>
      <metaprop name="parent" value="cc:posology_target_population"/>
    </element>
    <element tag="cc:paediatric_use" title="Paediatric posology">
      <metaprop name="children" value="st:spc_42b,hd:paediatric_posology_heading,co:posology_paediatric_body,co:safety_not_established,st:spc_42ba,st:spc_42bb,st:spc_42bc,st:spc_42bd,co:do_not_use,co:no_relevant_use,co:contraindicated_in_children,"/>
      <metaprop name="parent" value="cc:dosage_admin"/>
    </element>
    <element tag="st:spc_42b" title="Paediatric posology heading">
      <metaprop name="children" value=""/>
      <metaprop name="parent" value=""/>
    </element>
    <element tag="hd:paediatric_posology_heading" title="Editable Paediatric posology heading">
      <metaprop name="children" value=""/>
      <metaprop name="parent" value="cc:paediatric_use"/>
    </element>
    <element tag="co:posology_paediatric_body" title="Paediatric posology body">
      <metaprop name="children" value=""/>
      <metaprop name="parent" value="cc:paediatric_use"/>
    </element>
    <element tag="co:safety_not_established" title="Paediatric safety unestablished">
      <metaprop name="children" value=""/>
      <metaprop name="parent" value="cc:paediatric_use"/>
    </element>
    <element tag="st:spc_42ba" title="No data available">
      <metaprop name="children" value=""/>
      <metaprop name="parent" value="cc:paediatric_use"/>
    </element>
    <element tag="st:spc_42bb" title="Data available in 4.8">
      <metaprop name="children" value=""/>
      <metaprop name="parent" value="cc:paediatric_use"/>
    </element>
    <element tag="st:spc_42bc" title="Data available in 5.1">
      <metaprop name="children" value=""/>
      <metaprop name="parent" value="cc:paediatric_use"/>
    </element>
    <element tag="st:spc_42bd" title="Data available in 5.2">
      <metaprop name="children" value=""/>
      <metaprop name="parent" value="cc:paediatric_use"/>
    </element>
    <element tag="co:do_not_use" title="Do not use in children">
      <metaprop name="children" value=""/>
      <metaprop name="parent" value="cc:paediatric_use"/>
    </element>
    <element tag="co:no_relevant_use" title="No relevant use in children">
      <metaprop name="children" value=""/>
      <metaprop name="parent" value="cc:paediatric_use"/>
    </element>
    <element tag="co:contraindicated_in_children" title="Contraindicated in children">
      <metaprop name="children" value=""/>
      <metaprop name="parent" value="cc:paediatric_use"/>
    </element>
    <element tag="cc:administration_section" title="Method of administration ">
      <metaprop name="children" value="st:spc_42c,hd:admin_heading,co:method_of_admin_body,cc:precautions,"/>
      <metaprop name="parent" value="cc:dosage_admin"/>
    </element>
    <element tag="st:spc_42c" title="Method of administraton heading">
      <metaprop name="children" value=""/>
      <metaprop name="parent" value=""/>
    </element>
    <element tag="hd:admin_heading" title="Editable Method of administraton heading">
      <metaprop name="children" value=""/>
      <metaprop name="parent" value="cc:administration_section"/>
    </element>
    <element tag="co:method_of_admin_body" title="Method of administration body">
      <metaprop name="children" value=""/>
      <metaprop name="parent" value="cc:administration_section"/>
    </element>
    <element tag="cc:precautions" title="Precautions ">
      <metaprop name="children" value="st:spc_42ca,hd:precautions_heading,co:precautions_body,st:spc_42d_reconstituted,st:spc_42d_reconstituted_66_12,st:spc_42d_reconstituted_12,st:spc_42d_diluted,st:spc_42d_diluted_66_12,st:spc_42d_diluted_12,"/>
      <metaprop name="parent" value="cc:administration_section"/>
    </element>
    <element tag="st:spc_42ca" title="Precautions heading">
      <metaprop name="children" value=""/>
      <metaprop name="parent" value="cc:precautions"/>
    </element>
    <element tag="hd:precautions_heading" title="Editable Precautions heading">
      <metaprop name="children" value=""/>
      <metaprop name="parent" value="cc:precautions"/>
    </element>
    <element tag="co:precautions_body" title="Precautions body">
      <metaprop name="children" value=""/>
      <metaprop name="parent" value="cc:precautions"/>
    </element>
    <element tag="st:spc_42d_reconstituted" title="Reconstitution 6.6 ">
      <metaprop name="children" value=""/>
      <metaprop name="parent" value="cc:precautions"/>
    </element>
    <element tag="st:spc_42d_reconstituted_66_12" title="Reconstitution 6.6 and 12">
      <metaprop name="children" value=""/>
      <metaprop name="parent" value="cc:precautions"/>
    </element>
    <element tag="st:spc_42d_reconstituted_12" title="Reconstitution 12">
      <metaprop name="children" value=""/>
      <metaprop name="parent" value="cc:precautions"/>
    </element>
    <element tag="st:spc_42d_diluted" title="Dilution 6.6">
      <metaprop name="children" value=""/>
      <metaprop name="parent" value="cc:precautions"/>
    </element>
    <element tag="st:spc_42d_diluted_66_12" title="Dilution 6.6 and 12">
      <metaprop name="children" value=""/>
      <metaprop name="parent" value="cc:precautions"/>
    </element>
    <element tag="st:spc_42d_diluted_12" title="Dilution 12">
      <metaprop name="children" value=""/>
      <metaprop name="parent" value="cc:precautions"/>
    </element>
    <element tag="cc:contraindications" title="4.3 Contraindications">
      <metaprop name="children" value="st:spc_43,hd:contraindications_heading,co:contraindications_intro,st:spc_43a,co:residues,co:contraindications_body,"/>
      <metaprop name="parent" value="cc:clinical_particulars"/>
    </element>
    <element tag="st:spc_43" title="Contraindications heading">
      <metaprop name="children" value=""/>
      <metaprop name="parent" value=""/>
    </element>
    <element tag="hd:contraindications_heading" title="Editable Contraindications heading">
      <metaprop name="children" value=""/>
      <metaprop name="parent" value="cc:contraindications"/>
    </element>
    <element tag="co:contraindications_intro" title="Contraindications Introduction">
      <metaprop name="children" value=""/>
      <metaprop name="parent" value="cc:contraindications"/>
    </element>
    <element tag="st:spc_43a" title="Hypersensitivity information">
      <metaprop name="children" value=""/>
      <metaprop name="parent" value=""/>
    </element>
    <element tag="co:residues" title="Residues">
      <metaprop name="children" value=""/>
      <metaprop name="parent" value=""/>
    </element>
    <element tag="co:contraindications_body" title="Contraindications body">
      <metaprop name="children" value=""/>
      <metaprop name="parent" value="cc:contraindications"/>
    </element>
    <element tag="cc:warnings_precautions" title="4.4 Special warnings and precautions">
      <metaprop name="children" value="st:spc_44,hd:warnings_precautions_heading,co:warnings_precautions_body,cc:paediatric_warnings,"/>
      <metaprop name="parent" value="cc:clinical_particulars"/>
    </element>
    <element tag="st:spc_44" title="Warnings and precautions heading">
      <metaprop name="children" value=""/>
      <metaprop name="parent" value=""/>
    </element>
    <element tag="hd:warnings_precautions_heading" title="Editable Warnings and precautions heading">
      <metaprop name="children" value=""/>
      <metaprop name="parent" value="cc:warnings_precautions"/>
    </element>
    <element tag="co:warnings_precautions_body" title="Special warnings and precautions body">
      <metaprop name="children" value=""/>
      <metaprop name="parent" value="cc:warnings_precautions"/>
    </element>
    <element tag="cc:paediatric_warnings" title="Paediatric warnings">
      <metaprop name="children" value="st:spc_44a,hd:paediatric_warning_heading,co:warnings_precautions_ped_body,"/>
      <metaprop name="parent" value="cc:warnings_precautions"/>
    </element>
    <element tag="st:spc_44a" title="Paediatric warning heading">
      <metaprop name="children" value=""/>
      <metaprop name="parent" value=""/>
    </element>
    <element tag="hd:paediatric_warning_heading" title="Editable Paediatric warning heading">
      <metaprop name="children" value=""/>
      <metaprop name="parent" value="cc:paediatric_warnings"/>
    </element>
    <element tag="co:warnings_precautions_ped_body" title="Paediatric warnings body">
      <metaprop name="children" value=""/>
      <metaprop name="parent" value=""/>
    </element>
    <element tag="cc:interactions" title="4.5 Interactions ">
      <metaprop name="children" value="st:spc_45,hd:interactions_heading,st:spc_45a,co:interactions_body,cc:paediatric_interactions,"/>
      <metaprop name="parent" value="cc:clinical_particulars"/>
    </element>
    <element tag="st:spc_45" title="Interactions heading">
      <metaprop name="children" value=""/>
      <metaprop name="parent" value=""/>
    </element>
    <element tag="hd:interactions_heading" title="Editable Interactions heading">
      <metaprop name="children" value=""/>
      <metaprop name="parent" value="cc:interactions"/>
    </element>
    <element tag="st:spc_45a" title="No interaction studies">
      <metaprop name="children" value=""/>
      <metaprop name="parent" value="cc:interactions"/>
    </element>
    <element tag="co:interactions_body" title="Interactions body">
      <metaprop name="children" value=""/>
      <metaprop name="parent" value="cc:interactions"/>
    </element>
    <element tag="cc:paediatric_interactions" title="Paediatric interactions">
      <metaprop name="children" value="st:spc_45b,hd:interactions_paediatric,st:spc_45c,co:interactions_ped_body,"/>
      <metaprop name="parent" value="cc:interactions"/>
    </element>
    <element tag="st:spc_45b" title="Paediatric interactions heading">
      <metaprop name="children" value=""/>
      <metaprop name="parent" value=""/>
    </element>
    <element tag="hd:interactions_paediatric" title="Editable Paediatric interactions heading">
      <metaprop name="children" value=""/>
      <metaprop name="parent" value="cc:paediatric_interactions"/>
    </element>
    <element tag="st:spc_45c" title="Interaction studies adults">
      <metaprop name="children" value=""/>
      <metaprop name="parent" value="cc:paediatric_interactions"/>
    </element>
    <element tag="co:interactions_ped_body" title="Paediatric interactions body">
      <metaprop name="children" value=""/>
      <metaprop name="parent" value="cc:paediatric_interactions"/>
    </element>
    <element tag="cc:pregnancy_lactation" title="4.6 Fertility, pregnancy and lactation ">
      <metaprop name="children" value="st:spc_46,hd:pregnancy_lactation_heading,co:fertility_preg_lac_body,cc:pregnancy,cc:nursing_mothers,cc:fertility,"/>
      <metaprop name="parent" value="cc:clinical_particulars"/>
    </element>
    <element tag="st:spc_46" title="Fertility, pregnancy and lactation heading">
      <metaprop name="children" value=""/>
      <metaprop name="parent" value=""/>
    </element>
    <element tag="hd:pregnancy_lactation_heading" title="Editable Fertility, pregnancy and lactation heading">
      <metaprop name="children" value=""/>
      <metaprop name="parent" value="cc:pregnancy_lactation"/>
    </element>
    <element tag="co:fertility_preg_lac_body" title="Fertility, Pregnancy and lactation Body">
      <metaprop name="children" value=""/>
      <metaprop name="parent" value="cc:pregnancy_lactation"/>
    </element>
    <element tag="cc:pregnancy" title="Pregnancy">
      <metaprop name="children" value="st:spc_46a,hd:pregnancy_heading,co:pregnancy_body,"/>
      <metaprop name="parent" value="cc:pregnancy_lactation"/>
    </element>
    <element tag="st:spc_46a" title="Pregnancy heading">
      <metaprop name="children" value=""/>
      <metaprop name="parent" value=""/>
    </element>
    <element tag="hd:pregnancy_heading" title="Editable Pregnancy heading">
      <metaprop name="children" value=""/>
      <metaprop name="parent" value="cc:pregnancy"/>
    </element>
    <element tag="co:pregnancy_body" title="Pregnancy body">
      <metaprop name="children" value=""/>
      <metaprop name="parent" value="cc:pregnancy"/>
    </element>
    <element tag="cc:nursing_mothers" title="Breast-feeding">
      <metaprop name="children" value="st:spc_46b,hd:nursing_heading,co:nursing_body,"/>
      <metaprop name="parent" value="cc:pregnancy_lactation"/>
    </element>
    <element tag="st:spc_46b" title="Breast-feeding heading">
      <metaprop name="children" value=""/>
      <metaprop name="parent" value=""/>
    </element>
    <element tag="hd:nursing_heading" title="Editable Breast-feeding heading">
      <metaprop name="children" value=""/>
      <metaprop name="parent" value="cc:nursing_mothers"/>
    </element>
    <element tag="co:nursing_body" title="Breast-feeding body">
      <metaprop name="children" value=""/>
      <metaprop name="parent" value="cc:nursing_mothers"/>
    </element>
    <element tag="cc:fertility" title="Fertility">
      <metaprop name="children" value="st:spc_46c,hd:fertility_heading,co:fertility_body,"/>
      <metaprop name="parent" value="cc:pregnancy_lactation"/>
    </element>
    <element tag="st:spc_46c" title="Fertility heading">
      <metaprop name="children" value=""/>
      <metaprop name="parent" value=""/>
    </element>
    <element tag="hd:fertility_heading" title="Editable Fertility heading">
      <metaprop name="children" value=""/>
      <metaprop name="parent" value="cc:fertility"/>
    </element>
    <element tag="co:fertility_body" title="Fertility body">
      <metaprop name="children" value=""/>
      <metaprop name="parent" value="cc:fertility"/>
    </element>
    <element tag="cc:precautions_general" title="4.7 Driving warnings">
      <metaprop name="children" value="st:spc_47,hd:driving_warning_heading,st:spc_47a,st:spc_47b,st:spc_47c,st:spc_47d,st:spc_47e,co:driving_warnings_body,"/>
      <metaprop name="parent" value="cc:clinical_particulars"/>
    </element>
    <element tag="st:spc_47" title="Driving warning heading">
      <metaprop name="children" value=""/>
      <metaprop name="parent" value=""/>
    </element>
    <element tag="hd:driving_warning_heading" title="Editable Driving warning heading">
      <metaprop name="children" value=""/>
      <metaprop name="parent" value="cc:precautions_general"/>
    </element>
    <element tag="st:spc_47a" title="No influence on driving">
      <metaprop name="children" value="kw:keyword_Brand_name,"/>
      <metaprop name="parent" value="cc:precautions_general"/>
    </element>
    <element tag="kw:keyword_Brand_name" title="Brand Name">
      <metaprop name="children" value=""/>
      <metaprop name="parent" value=""/>
    </element>
    <element tag="st:spc_47b" title="Minor influence on driving">
      <metaprop name="children" value="kw:keyword_Brand_name,"/>
      <metaprop name="parent" value="cc:precautions_general"/>
    </element>
    <element tag="kw:keyword_Brand_name" title="Brand Name">
      <metaprop name="children" value=""/>
      <metaprop name="parent" value=""/>
    </element>
    <element tag="st:spc_47c" title="Moderate influence on driving">
      <metaprop name="children" value="kw:keyword_Brand_name,"/>
      <metaprop name="parent" value="cc:precautions_general"/>
    </element>
    <element tag="kw:keyword_Brand_name" title="Brand Name">
      <metaprop name="children" value=""/>
      <metaprop name="parent" value=""/>
    </element>
    <element tag="st:spc_47d" title="Major influence on driving">
      <metaprop name="children" value="kw:keyword_Brand_name,"/>
      <metaprop name="parent" value="cc:precautions_general"/>
    </element>
    <element tag="kw:keyword_Brand_name" title="Brand Name">
      <metaprop name="children" value=""/>
      <metaprop name="parent" value=""/>
    </element>
    <element tag="st:spc_47e" title="Not relevant">
      <metaprop name="children" value=""/>
      <metaprop name="parent" value="cc:precautions_general"/>
    </element>
    <element tag="co:driving_warnings_body" title="Driving warnings body">
      <metaprop name="children" value=""/>
      <metaprop name="parent" value="cc:precautions_general"/>
    </element>
    <element tag="cc:adverse_effects" title="4.8 Undesirable effects ">
      <metaprop name="children" value="st:spc_48,hd:adverse_effects_heading,co:undesirable_effects,cc:adverse_effects_paediatric,cc:reporting_effects,"/>
      <metaprop name="parent" value="cc:clinical_particulars"/>
    </element>
    <element tag="st:spc_48" title="Undesirable effects heading">
      <metaprop name="children" value=""/>
      <metaprop name="parent" value=""/>
    </element>
    <element tag="hd:adverse_effects_heading" title="Editable Undesirable effects heading">
      <metaprop name="children" value=""/>
      <metaprop name="parent" value="cc:adverse_effects"/>
    </element>
    <element tag="co:undesirable_effects" title="Undesirable effects body">
      <metaprop name="children" value=""/>
      <metaprop name="parent" value="cc:adverse_effects"/>
    </element>
    <element tag="cc:adverse_effects_paediatric" title=" Paediatric undesirable effects">
      <metaprop name="children" value="st:spc_48a,hd:adverse_effects_paed_heading,co:adverse_effects_ped_body,"/>
      <metaprop name="parent" value="cc:adverse_effects"/>
    </element>
    <element tag="st:spc_48a" title="Paediatric undesirable effects heading">
      <metaprop name="children" value=""/>
      <metaprop name="parent" value=""/>
    </element>
    <element tag="hd:adverse_effects_paed_heading" title="Editable Paediatric undesirable effects heading">
      <metaprop name="children" value=""/>
      <metaprop name="parent" value="cc:adverse_effects_paediatric"/>
    </element>
    <element tag="co:adverse_effects_ped_body" title=" Paediatric undesirable effects body">
      <metaprop name="children" value=""/>
      <metaprop name="parent" value="cc:adverse_effects_paediatric"/>
    </element>
    <element tag="cc:reporting_effects" title="Reporting of suspected adverse reactions">
      <metaprop name="children" value="st:spc_48b,hd:reporting_effects_heading,st:spc_48c,co:adverse_effects_body,"/>
      <metaprop name="parent" value="cc:adverse_effects"/>
    </element>
    <element tag="st:spc_48b" title="Reporting adverse reactions heading">
      <metaprop name="children" value=""/>
      <metaprop name="parent" value=""/>
    </element>
    <element tag="hd:reporting_effects_heading" title="Editable Reporting adverse reactions heading">
      <metaprop name="children" value=""/>
      <metaprop name="parent" value="cc:reporting_effects"/>
    </element>
    <element tag="st:spc_48c" title="Reporting reactions statement">
      <metaprop name="children" value=""/>
      <metaprop name="parent" value="cc:reporting_effects"/>
    </element>
    <element tag="co:adverse_effects_body" title="Reporting of suspected adverse reactions body">
      <metaprop name="children" value=""/>
      <metaprop name="parent" value="cc:reporting_effects"/>
    </element>
    <element tag="cc:overdosage" title="4.9 Overdose ">
      <metaprop name="children" value="st:spc_49,hd:overdose_heading,co:overdose_body,cc:paediatric_population,"/>
      <metaprop name="parent" value="cc:clinical_particulars"/>
    </element>
    <element tag="st:spc_49" title="Overdose heading">
      <metaprop name="children" value=""/>
      <metaprop name="parent" value=""/>
    </element>
    <element tag="hd:overdose_heading" title="Editable Overdose heading">
      <metaprop name="children" value=""/>
      <metaprop name="parent" value="cc:overdosage"/>
    </element>
    <element tag="co:overdose_body" title="Overdose body">
      <metaprop name="children" value=""/>
      <metaprop name="parent" value="cc:overdosage"/>
    </element>
    <element tag="cc:paediatric_population" title="Paediatric overdose">
      <metaprop name="children" value="st:spc_49a,hd:overdose_pediatric,co:overdose_ped_body,"/>
      <metaprop name="parent" value="cc:overdosage"/>
    </element>
    <element tag="st:spc_49a" title="Paediatric overdose heading">
      <metaprop name="children" value=""/>
      <metaprop name="parent" value=""/>
    </element>
    <element tag="hd:overdose_pediatric" title="Editable Paediatric overdose heading">
      <metaprop name="children" value=""/>
      <metaprop name="parent" value="cc:paediatric_population"/>
    </element>
    <element tag="co:overdose_ped_body" title="Paediatric overdose body">
      <metaprop name="children" value=""/>
      <metaprop name="parent" value="cc:paediatric_population"/>
    </element>
    <element tag="cc:clinical_pharmacology" title="5. Pharmacological properties">
      <metaprop name="children" value="st:spc_5,hd:pharmacology_heading,co:pharmacological_prop_body,cc:pharmacodynamic_prop,cc:pharmacokinetics,cc:nonclinical_toxicology,"/>
      <metaprop name="parent" value="cc:i4iroot"/>
    </element>
    <element tag="st:spc_5" title="Pharmacology heading">
      <metaprop name="children" value=""/>
      <metaprop name="parent" value=""/>
    </element>
    <element tag="hd:pharmacology_heading" title="Editable Pharmacology heading">
      <metaprop name="children" value=""/>
      <metaprop name="parent" value="cc:clinical_pharmacology"/>
    </element>
    <element tag="co:pharmacological_prop_body" title="Pharmacological Properties Body">
      <metaprop name="children" value=""/>
      <metaprop name="parent" value="cc:clinical_pharmacology"/>
    </element>
    <element tag="cc:pharmacodynamic_prop" title="5.1 Pharmacodynamic properties">
      <metaprop name="children" value="st:spc_51,hd:pharmacodynamics_prop_heading,co:pharmcodynamic_introduction,st:spc_51a,co:pharmacother_group_body,st:spc_51b,co:atc_code,st:spc_51_none,st:spc_51_biosimilar,co:pharmacodynamic_properties,cc:mechanism_action,cc:pharmacodynamics,cc:clinical_studies,cc:paediatric_pharmacodynamics,co:waiver_statement,co:deferral_statement,cc:conditional_approval,cc:authorised_rarity,cc:authorised_scientific,cc:authorised_ethical,"/>
      <metaprop name="parent" value="cc:clinical_pharmacology"/>
    </element>
    <element tag="st:spc_51" title="Pharmacodynamics heading">
      <metaprop name="children" value=""/>
      <metaprop name="parent" value=""/>
    </element>
    <element tag="hd:pharmacodynamics_prop_heading" title="Editable Pharmacodynamics heading">
      <metaprop name="children" value=""/>
      <metaprop name="parent" value="cc:pharmacodynamic_prop"/>
    </element>
    <element tag="co:pharmcodynamic_introduction" title="Pharmacodynamic Introduction">
      <metaprop name="children" value=""/>
      <metaprop name="parent" value="cc:pharmacodynamic_prop"/>
    </element>
    <element tag="st:spc_51a" title="Pharmacotherapeutic group heading">
      <metaprop name="children" value=""/>
      <metaprop name="parent" value=""/>
    </element>
    <element tag="co:pharmacother_group_body" title="Pharmacotherapeutic group body">
      <metaprop name="children" value=""/>
      <metaprop name="parent" value=""/>
    </element>
    <element tag="st:spc_51b" title="ATC code Heading">
      <metaprop name="children" value=""/>
      <metaprop name="parent" value=""/>
    </element>
    <element tag="co:atc_code" title="ATC code body">
      <metaprop name="children" value=""/>
      <metaprop name="parent" value=""/>
    </element>
    <element tag="st:spc_51_none" title="ATC code: not yet assigned">
      <metaprop name="children" value=""/>
      <metaprop name="parent" value=""/>
    </element>
    <element tag="st:spc_51_biosimilar" title="Biosimilar statement">
      <metaprop name="children" value="kw:keyword_Brand_name,"/>
      <metaprop name="parent" value="cc:pharmacodynamic_prop"/>
    </element>
    <element tag="kw:keyword_Brand_name" title="Brand Name">
      <metaprop name="children" value=""/>
      <metaprop name="parent" value=""/>
    </element>
    <element tag="co:pharmacodynamic_properties" title="Pharmacodynamic properties body">
      <metaprop name="children" value=""/>
      <metaprop name="parent" value="cc:pharmacodynamic_prop"/>
    </element>
    <element tag="cc:mechanism_action" title="Mechanism of action">
      <metaprop name="children" value="st:spc_51_mech_action,hd:mechanism_action_heading,co:mechanism_action_body,"/>
      <metaprop name="parent" value="cc:pharmacodynamic_prop"/>
    </element>
    <element tag="st:spc_51_mech_action" title="Mechanism of action heading">
      <metaprop name="children" value=""/>
      <metaprop name="parent" value=""/>
    </element>
    <element tag="hd:mechanism_action_heading" title="Editable Mechanism of action heading">
      <metaprop name="children" value=""/>
      <metaprop name="parent" value="cc:mechanism_action"/>
    </element>
    <element tag="co:mechanism_action_body" title="Mechanism of action body">
      <metaprop name="children" value=""/>
      <metaprop name="parent" value="cc:mechanism_action"/>
    </element>
    <element tag="cc:pharmacodynamics" title="Pharmacodynamic effects">
      <metaprop name="children" value="st:spc_51_pharmaco,hd:pharmacodynamic_heading,co:pharmacodynamic_body,"/>
      <metaprop name="parent" value="cc:pharmacodynamic_prop"/>
    </element>
    <element tag="st:spc_51_pharmaco" title="Pharmacodynamic effects heading">
      <metaprop name="children" value=""/>
      <metaprop name="parent" value=""/>
    </element>
    <element tag="hd:pharmacodynamic_heading" title="Editable Pharmacodynamic effects heading">
      <metaprop name="children" value=""/>
      <metaprop name="parent" value="cc:pharmacodynamics"/>
    </element>
    <element tag="co:pharmacodynamic_body" title="Pharmacodynamic effects body">
      <metaprop name="children" value=""/>
      <metaprop name="parent" value="cc:pharmacodynamics"/>
    </element>
    <element tag="cc:clinical_studies" title="Clinical efficacy and safety">
      <metaprop name="children" value="st:spc_51_clin,hd:efficacy_safety_heading,co:efficacy_safety_body,"/>
      <metaprop name="parent" value="cc:pharmacodynamic_prop"/>
    </element>
    <element tag="st:spc_51_clin" title="Efficacy and safety heading">
      <metaprop name="children" value=""/>
      <metaprop name="parent" value=""/>
    </element>
    <element tag="hd:efficacy_safety_heading" title="Editable Efficacy and safety heading">
      <metaprop name="children" value=""/>
      <metaprop name="parent" value="cc:clinical_studies"/>
    </element>
    <element tag="co:efficacy_safety_body" title="Clinical efficacy and safety body">
      <metaprop name="children" value=""/>
      <metaprop name="parent" value="cc:clinical_studies"/>
    </element>
    <element tag="cc:paediatric_pharmacodynamics" title="Paediatric population">
      <metaprop name="children" value="st:spc_51_ped,hd:paediatric_heading,co:paediatric_body,"/>
      <metaprop name="parent" value="cc:pharmacodynamic_prop"/>
    </element>
    <element tag="st:spc_51_ped" title="Paediatric population heading">
      <metaprop name="children" value=""/>
      <metaprop name="parent" value=""/>
    </element>
    <element tag="hd:paediatric_heading" title="Editable Paediatric population heading">
      <metaprop name="children" value=""/>
      <metaprop name="parent" value="cc:paediatric_pharmacodynamics"/>
    </element>
    <element tag="co:paediatric_body" title="Paediatric population body">
      <metaprop name="children" value=""/>
      <metaprop name="parent" value="cc:paediatric_pharmacodynamics"/>
    </element>
    <element tag="co:waiver_statement" title="Waiver PIP statement">
      <metaprop name="children" value=""/>
      <metaprop name="parent" value="cc:pharmacodynamic_prop"/>
    </element>
    <element tag="co:deferral_statement" title="Deferral PIP statement">
      <metaprop name="children" value=""/>
      <metaprop name="parent" value="cc:pharmacodynamic_prop"/>
    </element>
    <element tag="cc:conditional_approval" title="Conditional approval">
      <metaprop name="children" value="st:spc_51_cond_a,co:spc_51_cond_b,st:spc_51_cond_c,"/>
      <metaprop name="parent" value="cc:pharmacodynamic_prop"/>
    </element>
    <element tag="st:spc_51_cond_a" title="Conditional approval statement A">
      <metaprop name="children" value=""/>
      <metaprop name="parent" value=""/>
    </element>
    <element tag="co:spc_51_cond_b" title="Name of EAEU Member State Authority">
      <metaprop name="children" value=""/>
      <metaprop name="parent" value=""/>
    </element>
    <element tag="st:spc_51_cond_c" title="Conditional approval statement B">
      <metaprop name="children" value=""/>
      <metaprop name="parent" value=""/>
    </element>
    <element tag="cc:authorised_rarity" title="Authorised due to rarity of disease">
      <metaprop name="children" value="st:spc_51_exc-rare_a,co:spc_51_exc-rare_b,st:spc_51_exc-rare_c,"/>
      <metaprop name="parent" value="cc:pharmacodynamic_prop"/>
    </element>
    <element tag="st:spc_51_exc-rare_a" title="Rarity of disease statement A">
      <metaprop name="children" value=""/>
      <metaprop name="parent" value=""/>
    </element>
    <element tag="co:spc_51_exc-rare_b" title="Name of EAEU Member State Authority">
      <metaprop name="children" value=""/>
      <metaprop name="parent" value=""/>
    </element>
    <element tag="st:spc_51_exc-rare_c" title="Rarity of disease statement B">
      <metaprop name="children" value=""/>
      <metaprop name="parent" value=""/>
    </element>
    <element tag="cc:authorised_scientific" title="Authorised for scientific reasons">
      <metaprop name="children" value="st:spc_51_exc-science_a,co:spc_51_exc-science_b,st:spc_51_exc-science_c,"/>
      <metaprop name="parent" value="cc:pharmacodynamic_prop"/>
    </element>
    <element tag="st:spc_51_exc-science_a" title="Scientific reasons statement A">
      <metaprop name="children" value=""/>
      <metaprop name="parent" value=""/>
    </element>
    <element tag="co:spc_51_exc-science_b" title="Name of EAEU Member State Authority">
      <metaprop name="children" value=""/>
      <metaprop name="parent" value=""/>
    </element>
    <element tag="st:spc_51_exc-science_c" title="Scientific reasons statement B">
      <metaprop name="children" value=""/>
      <metaprop name="parent" value=""/>
    </element>
    <element tag="cc:authorised_ethical" title="Authorised for ethical reasons">
      <metaprop name="children" value="st:spc_51_exc-ethics_a,co:spc_51_exc-ethics_b,st:spc_51_exc-ethics_c,"/>
      <metaprop name="parent" value="cc:pharmacodynamic_prop"/>
    </element>
    <element tag="st:spc_51_exc-ethics_a" title="Ethical reasons statement A">
      <metaprop name="children" value=""/>
      <metaprop name="parent" value=""/>
    </element>
    <element tag="co:spc_51_exc-ethics_b" title="Name of EAEU Member State Authority">
      <metaprop name="children" value=""/>
      <metaprop name="parent" value=""/>
    </element>
    <element tag="st:spc_51_exc-ethics_c" title="Ethical reasons statement B">
      <metaprop name="children" value=""/>
      <metaprop name="parent" value=""/>
    </element>
    <element tag="cc:pharmacokinetics" title="5.2 Pharmacokinetics">
      <metaprop name="children" value="st:spc_52,hd:pharmacokinetics_heading,co:pharmacokinetic_body,cc:absorption,cc:distribution,cc:spc_52_biotransformation,cc:elimination,cc:linearitynon-linearity,cc:pharma_dynamic_rel,co:other_pharmacokinetic,"/>
      <metaprop name="parent" value="cc:clinical_pharmacology"/>
    </element>
    <element tag="st:spc_52" title="Pharmacokinetics heading">
      <metaprop name="children" value=""/>
      <metaprop name="parent" value=""/>
    </element>
    <element tag="hd:pharmacokinetics_heading" title="Editable Pharmacokinetics heading">
      <metaprop name="children" value=""/>
      <metaprop name="parent" value="cc:pharmacokinetics"/>
    </element>
    <element tag="co:pharmacokinetic_body" title="Pharmacokinetics body">
      <metaprop name="children" value=""/>
      <metaprop name="parent" value="cc:pharmacokinetics"/>
    </element>
    <element tag="cc:absorption" title="Absorption">
      <metaprop name="children" value="st:spc_52_absorption,hd:absorption,co:aborsorption_body,"/>
      <metaprop name="parent" value="cc:pharmacokinetics"/>
    </element>
    <element tag="st:spc_52_absorption" title="Absorption heading">
      <metaprop name="children" value=""/>
      <metaprop name="parent" value=""/>
    </element>
    <element tag="hd:absorption" title="Editable Absorption heading">
      <metaprop name="children" value=""/>
      <metaprop name="parent" value="cc:absorption"/>
    </element>
    <element tag="co:aborsorption_body" title="Absorption body">
      <metaprop name="children" value=""/>
      <metaprop name="parent" value="cc:absorption"/>
    </element>
    <element tag="cc:distribution" title="Distribution">
      <metaprop name="children" value="st:spc_52_distribution,hd:distribution,co:distribution_body,"/>
      <metaprop name="parent" value="cc:pharmacokinetics"/>
    </element>
    <element tag="st:spc_52_distribution" title="Distribution heading">
      <metaprop name="children" value=""/>
      <metaprop name="parent" value=""/>
    </element>
    <element tag="hd:distribution" title="Editable Distribution heading">
      <metaprop name="children" value=""/>
      <metaprop name="parent" value="cc:distribution"/>
    </element>
    <element tag="co:distribution_body" title="Distribution body">
      <metaprop name="children" value=""/>
      <metaprop name="parent" value="cc:distribution"/>
    </element>
    <element tag="cc:spc_52_biotransformation" title="Biotransformation">
      <metaprop name="children" value="st:spc_52_biotransformation,hd:biotransformation,co:biotransformation_body,"/>
      <metaprop name="parent" value="cc:pharmacokinetics"/>
    </element>
    <element tag="st:spc_52_biotransformation" title="Biotransformation  heading">
      <metaprop name="children" value=""/>
      <metaprop name="parent" value=""/>
    </element>
    <element tag="hd:biotransformation" title="Editable Biotransformation heading">
      <metaprop name="children" value=""/>
      <metaprop name="parent" value="cc:spc_52_biotransformation"/>
    </element>
    <element tag="co:biotransformation_body" title="Biotransformation body">
      <metaprop name="children" value=""/>
      <metaprop name="parent" value="cc:spc_52_biotransformation"/>
    </element>
    <element tag="cc:elimination" title="Elimination ">
      <metaprop name="children" value="st:spc_52_elimination,hd:elimination,co:elimination_body,"/>
      <metaprop name="parent" value="cc:pharmacokinetics"/>
    </element>
    <element tag="st:spc_52_elimination" title="Elimination  heading">
      <metaprop name="children" value=""/>
      <metaprop name="parent" value=""/>
    </element>
    <element tag="hd:elimination" title="Editable Elimination heading">
      <metaprop name="children" value=""/>
      <metaprop name="parent" value="cc:elimination"/>
    </element>
    <element tag="co:elimination_body" title="Elimination body">
      <metaprop name="children" value=""/>
      <metaprop name="parent" value="cc:elimination"/>
    </element>
    <element tag="cc:linearitynon-linearity" title="Linearity/non-linearity">
      <metaprop name="children" value="st:spc_52_linearity,hd:linearity_non_linearity,co:linearity_body,"/>
      <metaprop name="parent" value="cc:pharmacokinetics"/>
    </element>
    <element tag="st:spc_52_linearity" title="Linearity/non-linearity heading">
      <metaprop name="children" value=""/>
      <metaprop name="parent" value=""/>
    </element>
    <element tag="hd:linearity_non_linearity" title="Editable Linearity/non-linearity heading">
      <metaprop name="children" value=""/>
      <metaprop name="parent" value="cc:linearitynon-linearity"/>
    </element>
    <element tag="co:linearity_body" title="Linearity/non-linearity body">
      <metaprop name="children" value=""/>
      <metaprop name="parent" value="cc:linearitynon-linearity"/>
    </element>
    <element tag="cc:pharma_dynamic_rel" title="pharmacokinetic/pharmacodynamic relationship ">
      <metaprop name="children" value="st:spc_52_relationship,hd:kinetic_dynamic_relationship,co:pharma_dynamic_rel_body,"/>
      <metaprop name="parent" value="cc:pharmacokinetics"/>
    </element>
    <element tag="st:spc_52_relationship" title="Pharmacokinetic/pharmacodynamic relationship heading">
      <metaprop name="children" value=""/>
      <metaprop name="parent" value=""/>
    </element>
    <element tag="hd:kinetic_dynamic_relationship" title="Editable Pharmacokinetic/pharmacodynamic relationship heading">
      <metaprop name="children" value=""/>
      <metaprop name="parent" value="cc:pharma_dynamic_rel"/>
    </element>
    <element tag="co:pharma_dynamic_rel_body" title="Pharmacokinetic/pharmacodynamic relationship body">
      <metaprop name="children" value=""/>
      <metaprop name="parent" value="cc:pharma_dynamic_rel"/>
    </element>
    <element tag="co:other_pharmacokinetic" title="Other pharmacokinetic properties body">
      <metaprop name="children" value=""/>
      <metaprop name="parent" value="cc:pharmacokinetics"/>
    </element>
    <element tag="cc:nonclinical_toxicology" title="5.3 Preclinical safety">
      <metaprop name="children" value="st:spc_53,hd:preclinical_safety_heading,co:preclinical_introduction,st:spc_53_none,st:spc_53_exposure,st:spc_53_animal,co:preclinical_safety_body,cc:environmental_warning,"/>
      <metaprop name="parent" value="cc:clinical_pharmacology"/>
    </element>
    <element tag="st:spc_53" title="Preclinical safety heading">
      <metaprop name="children" value=""/>
      <metaprop name="parent" value=""/>
    </element>
    <element tag="hd:preclinical_safety_heading" title="Editable Preclinical safety heading">
      <metaprop name="children" value=""/>
      <metaprop name="parent" value="cc:nonclinical_toxicology"/>
    </element>
    <element tag="co:preclinical_introduction" title="Preclinical Safety Introduction">
      <metaprop name="children" value=""/>
      <metaprop name="parent" value="cc:nonclinical_toxicology"/>
    </element>
    <element tag="st:spc_53_none" title="No hazard statement">
      <metaprop name="children" value=""/>
      <metaprop name="parent" value="cc:nonclinical_toxicology"/>
    </element>
    <element tag="st:spc_53_exposure" title="Excess exposure statement">
      <metaprop name="children" value=""/>
      <metaprop name="parent" value="cc:nonclinical_toxicology"/>
    </element>
    <element tag="st:spc_53_animal" title="Adverse reactions in animals statement">
      <metaprop name="children" value=""/>
      <metaprop name="parent" value="cc:nonclinical_toxicology"/>
    </element>
    <element tag="co:preclinical_safety_body" title="Preclinical safety data body">
      <metaprop name="children" value=""/>
      <metaprop name="parent" value="cc:nonclinical_toxicology"/>
    </element>
    <element tag="cc:environmental_warning" title="Environmental risk assessment">
      <metaprop name="children" value="st:spc_53a,hd:era_heading,co:era_body,"/>
      <metaprop name="parent" value="cc:nonclinical_toxicology"/>
    </element>
    <element tag="st:spc_53a" title="Environmental risk assessment heading">
      <metaprop name="children" value=""/>
      <metaprop name="parent" value="cc:environmental_warning"/>
    </element>
    <element tag="hd:era_heading" title="Editable Environmental risk assessment heading">
      <metaprop name="children" value=""/>
      <metaprop name="parent" value="cc:environmental_warning"/>
    </element>
    <element tag="co:era_body" title="Environmental risk assessment body">
      <metaprop name="children" value=""/>
      <metaprop name="parent" value="cc:environmental_warning"/>
    </element>
    <element tag="cc:pharmaceutical_particulars" title="6. Pharmaceutical particulars">
      <metaprop name="children" value="st:spc_6,hd:pharma_particulars_heading,co:pharma_particulars_intro,cc:inactive_ingredients,cc:incompatibilities,cc:shelf_life,cc:storage,cc:how_supplied,cc:disposal_waste,"/>
      <metaprop name="parent" value="cc:i4iroot"/>
    </element>
    <element tag="st:spc_6" title="Pharmaceutical particulars heading">
      <metaprop name="children" value=""/>
      <metaprop name="parent" value=""/>
    </element>
    <element tag="hd:pharma_particulars_heading" title="Editable Pharmaceutical particulars heading">
      <metaprop name="children" value=""/>
      <metaprop name="parent" value="cc:pharmaceutical_particulars"/>
    </element>
    <element tag="co:pharma_particulars_intro" title="Pharmaceutical Particulars Introduction">
      <metaprop name="children" value=""/>
      <metaprop name="parent" value="cc:pharmaceutical_particulars"/>
    </element>
    <element tag="cc:inactive_ingredients" title="6.1 List of excipients">
      <metaprop name="children" value="st:spc_61,hd:inactive_ingredients_heading,st:spc_61_none,co:inactive_ingredients_body,"/>
      <metaprop name="parent" value="cc:pharmaceutical_particulars"/>
    </element>
    <element tag="st:spc_61" title="List of excipients heading">
      <metaprop name="children" value=""/>
      <metaprop name="parent" value=""/>
    </element>
    <element tag="hd:inactive_ingredients_heading" title="Editable List of excipients heading">
      <metaprop name="children" value=""/>
      <metaprop name="parent" value="cc:inactive_ingredients"/>
    </element>
    <element tag="st:spc_61_none" title="No excipients">
      <metaprop name="children" value=""/>
      <metaprop name="parent" value="cc:inactive_ingredients"/>
    </element>
    <element tag="co:inactive_ingredients_body" title="List of excipients body">
      <metaprop name="children" value=""/>
      <metaprop name="parent" value="cc:inactive_ingredients"/>
    </element>
    <element tag="cc:incompatibilities" title="6.2 Incompatibilities">
      <metaprop name="children" value="st:spc_62,hd:incompatibilities_heading,st:spc_62_na,st:spc_62_not_mix,st:spc_62_not_mix_66,st:spc_62_not_mix_66_12,st:spc_62_not_mix_12,co:incompatibility_body,"/>
      <metaprop name="parent" value="cc:pharmaceutical_particulars"/>
    </element>
    <element tag="st:spc_62" title="Incompatibilities heading">
      <metaprop name="children" value=""/>
      <metaprop name="parent" value=""/>
    </element>
    <element tag="hd:incompatibilities_heading" title="Editable Incompatibilities heading">
      <metaprop name="children" value=""/>
      <metaprop name="parent" value="cc:incompatibilities"/>
    </element>
    <element tag="st:spc_62_na" title="Not applicable">
      <metaprop name="children" value=""/>
      <metaprop name="parent" value="cc:incompatibilities"/>
    </element>
    <element tag="st:spc_62_not_mix" title="Do not mix">
      <metaprop name="children" value=""/>
      <metaprop name="parent" value="cc:incompatibilities"/>
    </element>
    <element tag="st:spc_62_not_mix_66" title="Do not mix 6.6">
      <metaprop name="children" value=""/>
      <metaprop name="parent" value="cc:incompatibilities"/>
    </element>
    <element tag="st:spc_62_not_mix_66_12" title="Do not mix 6.6 and 12">
      <metaprop name="children" value=""/>
      <metaprop name="parent" value="cc:incompatibilities"/>
    </element>
    <element tag="st:spc_62_not_mix_12" title="Do not mix 12">
      <metaprop name="children" value=""/>
      <metaprop name="parent" value="cc:incompatibilities"/>
    </element>
    <element tag="co:incompatibility_body" title="Incompatibilities body">
      <metaprop name="children" value=""/>
      <metaprop name="parent" value="cc:incompatibilities"/>
    </element>
    <element tag="cc:shelf_life" title="6.3 Shelf life">
      <metaprop name="children" value="st:spc_63,hd:shelf_life_heading,st:spc_63_6m,st:spc_63_1y,st:spc_63_18m,st:spc_63_2y,st:spc_63_30m,st:spc_63_3y,co:shelf_life_body,"/>
      <metaprop name="parent" value="cc:pharmaceutical_particulars"/>
    </element>
    <element tag="st:spc_63" title="Shelf life heading">
      <metaprop name="children" value=""/>
      <metaprop name="parent" value=""/>
    </element>
    <element tag="hd:shelf_life_heading" title="Editable Shelf life heading">
      <metaprop name="children" value=""/>
      <metaprop name="parent" value="cc:shelf_life"/>
    </element>
    <element tag="st:spc_63_6m" title="Shelf life 6 months">
      <metaprop name="children" value=""/>
      <metaprop name="parent" value="cc:shelf_life"/>
    </element>
    <element tag="st:spc_63_1y" title="Shelf life 1 year">
      <metaprop name="children" value=""/>
      <metaprop name="parent" value="cc:shelf_life"/>
    </element>
    <element tag="st:spc_63_18m" title="Shelf life 18 months">
      <metaprop name="children" value=""/>
      <metaprop name="parent" value="cc:shelf_life"/>
    </element>
    <element tag="st:spc_63_2y" title="Shelf life 2 years">
      <metaprop name="children" value=""/>
      <metaprop name="parent" value="cc:shelf_life"/>
    </element>
    <element tag="st:spc_63_30m" title="Shelf life 30 months">
      <metaprop name="children" value=""/>
      <metaprop name="parent" value="cc:shelf_life"/>
    </element>
    <element tag="st:spc_63_3y" title="Shelf life 3 years">
      <metaprop name="children" value=""/>
      <metaprop name="parent" value="cc:shelf_life"/>
    </element>
    <element tag="co:shelf_life_body" title="Shelf life body">
      <metaprop name="children" value=""/>
      <metaprop name="parent" value="cc:shelf_life"/>
    </element>
    <element tag="cc:storage" title="6.4 Storage ">
      <metaprop name="children" value="st:spc_64,hd:storage_heading,st:spc_64a_reconstituted,st:spc_64a_diluted,st:spc_64a_opening,co:storage_body,"/>
      <metaprop name="parent" value="cc:pharmaceutical_particulars"/>
    </element>
    <element tag="st:spc_64" title="Storage heading">
      <metaprop name="children" value=""/>
      <metaprop name="parent" value=""/>
    </element>
    <element tag="hd:storage_heading" title="Editable Storage heading">
      <metaprop name="children" value=""/>
      <metaprop name="parent" value="cc:storage"/>
    </element>
    <element tag="st:spc_64a_reconstituted" title="Storage conditions after reconstitution">
      <metaprop name="children" value=""/>
      <metaprop name="parent" value="cc:storage"/>
    </element>
    <element tag="st:spc_64a_diluted" title="Storage conditions after dilution">
      <metaprop name="children" value=""/>
      <metaprop name="parent" value="cc:storage"/>
    </element>
    <element tag="st:spc_64a_opening" title="Storage conditions after first opening">
      <metaprop name="children" value=""/>
      <metaprop name="parent" value="cc:storage"/>
    </element>
    <element tag="co:storage_body" title="Storage body">
      <metaprop name="children" value=""/>
      <metaprop name="parent" value="cc:storage"/>
    </element>
    <element tag="cc:how_supplied" title="6.5 Nature and contents of container">
      <metaprop name="children" value="st:spc_65_short,st:spc_65_long,hd:contents_heading,co:container_body,st:spc_65a,co:nature_contents_end,"/>
      <metaprop name="parent" value="cc:pharmaceutical_particulars"/>
    </element>
    <element tag="st:spc_65_short" title="Nature and contents of container heading">
      <metaprop name="children" value=""/>
      <metaprop name="parent" value=""/>
    </element>
    <element tag="st:spc_65_long" title="Nature and contents of container and special equipment heading">
      <metaprop name="children" value=""/>
      <metaprop name="parent" value="cc:how_supplied"/>
    </element>
    <element tag="hd:contents_heading" title="Editable Nature and contents of container heading">
      <metaprop name="children" value=""/>
      <metaprop name="parent" value="cc:how_supplied"/>
    </element>
    <element tag="co:container_body" title=" Nature and contents of container body">
      <metaprop name="children" value=""/>
      <metaprop name="parent" value="cc:how_supplied"/>
    </element>
    <element tag="st:spc_65a" title="Not all pack sizes may be marketed">
      <metaprop name="children" value=""/>
      <metaprop name="parent" value="cc:how_supplied"/>
    </element>
    <element tag="co:nature_contents_end" title="Nature and Contents End Body">
      <metaprop name="children" value=""/>
      <metaprop name="parent" value="cc:how_supplied"/>
    </element>
    <element tag="cc:disposal_waste" title="6.6 Special precautions for disposal ">
      <metaprop name="children" value="st:spc_66_short,st:spc_66_long,hd:disposal_heading,co:disposal_body,cc:disposal_paediatric,st:spc_66b_none,st:spc_66b_disposal,st:spc_66b_unused,co:disposal_end_body,"/>
      <metaprop name="parent" value="cc:pharmaceutical_particulars"/>
    </element>
    <element tag="st:spc_66_short" title="Disposal heading">
      <metaprop name="children" value=""/>
      <metaprop name="parent" value="cc:disposal_waste"/>
    </element>
    <element tag="st:spc_66_long" title="Disposal and handling heading">
      <metaprop name="children" value=""/>
      <metaprop name="parent" value="cc:disposal_waste"/>
    </element>
    <element tag="hd:disposal_heading" title="Editable Disposal heading">
      <metaprop name="children" value=""/>
      <metaprop name="parent" value="cc:disposal_waste"/>
    </element>
    <element tag="co:disposal_body" title="Special precautions for disposal  body">
      <metaprop name="children" value=""/>
      <metaprop name="parent" value="cc:disposal_waste"/>
    </element>
    <element tag="cc:disposal_paediatric" title="Disposal for paediatric populations">
      <metaprop name="children" value="st:st:spc_66a,hd:disposal_paediatirc,co:disposal_paediatric_body,"/>
      <metaprop name="parent" value="cc:disposal_waste"/>
    </element>
    <element tag="st:st:spc_66a" title="Disposal paediatic use heading">
      <metaprop name="children" value=""/>
      <metaprop name="parent" value="cc:disposal_paediatric"/>
    </element>
    <element tag="hd:disposal_paediatirc" title="Editable Disposal paediatric use heading">
      <metaprop name="children" value=""/>
      <metaprop name="parent" value="cc:disposal_paediatric"/>
    </element>
    <element tag="co:disposal_paediatric_body" title="Disposal for paediatric populations body">
      <metaprop name="children" value=""/>
      <metaprop name="parent" value="cc:disposal_paediatric"/>
    </element>
    <element tag="st:spc_66b_none" title="No special requirements">
      <metaprop name="children" value=""/>
      <metaprop name="parent" value="cc:disposal_waste"/>
    </element>
    <element tag="st:spc_66b_disposal" title="No special requirements for disposal">
      <metaprop name="children" value=""/>
      <metaprop name="parent" value="cc:disposal_waste"/>
    </element>
    <element tag="st:spc_66b_unused" title="Dispose as per local requirements">
      <metaprop name="children" value=""/>
      <metaprop name="parent" value="cc:disposal_waste"/>
    </element>
    <element tag="co:disposal_end_body" title="Disposal End Body">
      <metaprop name="children" value=""/>
      <metaprop name="parent" value="cc:disposal_waste"/>
    </element>
    <element tag="cc:holder_section" title="7. Marketing authorisation holder">
      <metaprop name="children" value="st:spc_7,hd:marketing_auth_hold_heading,co:marketing_auth_body,cc:holder_information,"/>
      <metaprop name="parent" value="cc:i4iroot"/>
    </element>
    <element tag="st:spc_7" title="Marketing authorisation heading">
      <metaprop name="children" value=""/>
      <metaprop name="parent" value=""/>
    </element>
    <element tag="hd:marketing_auth_hold_heading" title="Editable Marketing authorisation heading">
      <metaprop name="children" value=""/>
      <metaprop name="parent" value="cc:holder_section"/>
    </element>
    <element tag="co:marketing_auth_body" title="Marketing authorisation holder body">
      <metaprop name="children" value=""/>
      <metaprop name="parent" value="cc:holder_section"/>
    </element>
    <element tag="cc:holder_information" title="Authorisation holder representative">
      <metaprop name="children" value="st:holder_information_st,hd:holder_information_hd,co:holder_information_body,"/>
      <metaprop name="parent" value="cc:holder_section"/>
    </element>
    <element tag="st:holder_information_st" title="Authorisation holder representative Heading">
      <metaprop name="children" value=""/>
      <metaprop name="parent" value="cc:holder_information"/>
    </element>
    <element tag="hd:holder_information_hd" title="Editable Authorisation holder representative Heading">
      <metaprop name="children" value=""/>
      <metaprop name="parent" value="cc:holder_information"/>
    </element>
    <element tag="co:holder_information_body" title="Authorisation holder representative Body">
      <metaprop name="children" value=""/>
      <metaprop name="parent" value="cc:holder_information"/>
    </element>
    <element tag="cc:registration_section" title="8. Marketing authorisation number">
      <metaprop name="children" value="st:spc_8_singular,st:spc_8_plural,hd:marketing_auth_no_heading,co:marketing_auth_no,"/>
      <metaprop name="parent" value="cc:i4iroot"/>
    </element>
    <element tag="st:spc_8_singular" title="Marketing authorisation number heading (singular)">
      <metaprop name="children" value=""/>
      <metaprop name="parent" value=""/>
    </element>
    <element tag="st:spc_8_plural" title="Marketing authorisation number heading (Plural)">
      <metaprop name="children" value=""/>
      <metaprop name="parent" value="cc:registration_section"/>
    </element>
    <element tag="hd:marketing_auth_no_heading" title="Editable Marketing authorisation number heading">
      <metaprop name="children" value=""/>
      <metaprop name="parent" value="cc:registration_section"/>
    </element>
    <element tag="co:marketing_auth_no" title="Marketing authorisation number body">
      <metaprop name="children" value=""/>
      <metaprop name="parent" value="cc:registration_section"/>
    </element>
    <element tag="cc:authorisation_date" title="9. Date of first authorisation">
      <metaprop name="children" value="st:spc_9,hd:authorisation_date_heading,st:spc_9a,co:first_auth_date_body,st:spc_9b,co:latest_auth_date_body,co:authorisation_body,"/>
      <metaprop name="parent" value="cc:i4iroot"/>
    </element>
    <element tag="st:spc_9" title="Authorisation date heading">
      <metaprop name="children" value=""/>
      <metaprop name="parent" value=""/>
    </element>
    <element tag="hd:authorisation_date_heading" title="Editable Authorisation date heading">
      <metaprop name="children" value=""/>
      <metaprop name="parent" value="cc:authorisation_date"/>
    </element>
    <element tag="st:spc_9a" title="Date of first authorisation statement">
      <metaprop name="children" value=""/>
      <metaprop name="parent" value=""/>
    </element>
    <element tag="co:first_auth_date_body" title="Date of first authorisation body">
      <metaprop name="children" value=""/>
      <metaprop name="parent" value=""/>
    </element>
    <element tag="st:spc_9b" title="Date of latest renewal statement">
      <metaprop name="children" value=""/>
      <metaprop name="parent" value=""/>
    </element>
    <element tag="co:latest_auth_date_body" title="Date of latest renewal body">
      <metaprop name="children" value=""/>
      <metaprop name="parent" value=""/>
    </element>
    <element tag="co:authorisation_body" title="Date of first authorisation body">
      <metaprop name="children" value=""/>
      <metaprop name="parent" value="cc:authorisation_date"/>
    </element>
    <element tag="cc:revision_section" title="10. Date of revision">
      <metaprop name="children" value="st:spc_10,hd:revision_date_heading,co:revision_date_body,"/>
      <metaprop name="parent" value="cc:i4iroot"/>
    </element>
    <element tag="st:spc_10" title="Revision date heading">
      <metaprop name="children" value=""/>
      <metaprop name="parent" value=""/>
    </element>
    <element tag="hd:revision_date_heading" title="Editable Revision date heading">
      <metaprop name="children" value=""/>
      <metaprop name="parent" value="cc:revision_section"/>
    </element>
    <element tag="co:revision_date_body" title=" Date of revision body ">
      <metaprop name="children" value=""/>
      <metaprop name="parent" value="cc:revision_section"/>
    </element>
    <element tag="cc:dosimetry_section" title="11. Dosimetry ">
      <metaprop name="children" value="st:spc_11,hd:dosimetry,co:dosimetry_body,"/>
      <metaprop name="parent" value="cc:i4iroot"/>
    </element>
    <element tag="st:spc_11" title="Dosimetry heading">
      <metaprop name="children" value=""/>
      <metaprop name="parent" value=""/>
    </element>
    <element tag="hd:dosimetry" title="Editable Dosimetry heading">
      <metaprop name="children" value=""/>
      <metaprop name="parent" value="cc:dosimetry_section"/>
    </element>
    <element tag="co:dosimetry_body" title="Dosimetry body">
      <metaprop name="children" value=""/>
      <metaprop name="parent" value="cc:dosimetry_section"/>
    </element>
    <element tag="cc:instructions_radiopharm" title="12. Instructions for radiopharmaceuticals">
      <metaprop name="children" value="st:spc_12,hd:radiopharm_heading,co:instructions_radiopharm,st:spc_12a,"/>
      <metaprop name="parent" value="cc:i4iroot"/>
    </element>
    <element tag="st:spc_12" title="Radiopharmaceuticals heading">
      <metaprop name="children" value=""/>
      <metaprop name="parent" value=""/>
    </element>
    <element tag="hd:radiopharm_heading" title="Editable Radiopharmaceuticals heading">
      <metaprop name="children" value=""/>
      <metaprop name="parent" value="cc:instructions_radiopharm"/>
    </element>
    <element tag="co:instructions_radiopharm" title="Instructions for radiopharmaceuticals body">
      <metaprop name="children" value=""/>
      <metaprop name="parent" value="cc:instructions_radiopharm"/>
    </element>
    <element tag="st:spc_12a" title="Radiopharmaceutical disposal statement">
      <metaprop name="children" value=""/>
      <metaprop name="parent" value="cc:instructions_radiopharm"/>
    </element>
    <element tag="cc:spc_end_wrap" title="SPC see website statement">
      <metaprop name="children" value="st:spc_end,co:spc_end_body,st:spc_end1,co:spc_end_body1,st:spc_end_end,"/>
      <metaprop name="parent" value="cc:i4iroot"/>
    </element>
    <element tag="st:spc_end" title="SPC see website statement Heading">
      <metaprop name="children" value="kw:keyword_Brand_name,"/>
      <metaprop name="parent" value=""/>
    </element>
    <element tag="kw:keyword_Brand_name" title="Brand Name">
      <metaprop name="children" value=""/>
      <metaprop name="parent" value="st:spc_end"/>
    </element>
    <element tag="co:spc_end_body" title="SPC Authority Website">
      <metaprop name="children" value=""/>
      <metaprop name="parent" value=""/>
    </element>
    <element tag="st:spc_end1" title="SPC see website statement 2 Heading">
      <metaprop name="children" value=""/>
      <metaprop name="parent" value=""/>
    </element>
    <element tag="co:spc_end_body1" title="SPC Agency Website">
      <metaprop name="children" value=""/>
      <metaprop name="parent" value=""/>
    </element>
    <element tag="st:spc_end_end" title="SPC see website statement end">
      <metaprop name="children" value=""/>
      <metaprop name="parent" value=""/>
    </element>
    <element tag="co:spc_final_end" title="SPC Final End">
      <metaprop name="children" value=""/>
      <metaprop name="parent" value="cc:i4iroot"/>
    </element>
  </i4i_definitions>
  <common type="2">
    <element tag="section" title="Generic Section"/>
  </common>
</x4o:i4i>
</file>

<file path=customXml/item6.xml><?xml version="1.0" encoding="utf-8"?>
<FormTemplates>
  <Display>DocumentLibraryForm</Display>
  <Edit>DocumentLibraryForm</Edit>
  <New>DocumentLibraryForm</New>
  <MobileDisplayFormUrl/>
  <MobileEditFormUrl/>
  <MobileNewFormUrl/>
</FormTemplates>
</file>

<file path=customXml/item7.xml><?xml version="1.0" encoding="utf-8"?>
<key:KeywordsVocabularies xmlns:key="http://www.i4i.com/ns/x4w/keywords">
  <keywords>
    <keywordset name="All Content of Labeling SPLs">
      <doctypes>
        <doctype name="SPL4"/>
        <doctype name="PLR4"/>
        <doctype name="OTC4"/>
        <doctype name="Bulk4"/>
        <doctype name="Allergenic4"/>
        <doctype name="Allergenic-PLR4"/>
        <doctype name="Vaccine4"/>
        <doctype name="Vaccine-PLR4"/>
        <doctype name="VaccineBulk4"/>
        <doctype name="Blood4"/>
        <doctype name="Cell4"/>
        <doctype name="Cell-PLR4"/>
        <doctype name="VetOTC4"/>
        <doctype name="VetOTCA4"/>
        <doctype name="VetOTCB4"/>
        <doctype name="VetOTCC4"/>
        <doctype name="Vet4"/>
        <doctype name="VetA4"/>
        <doctype name="VetB4"/>
        <doctype name="VetC4"/>
        <doctype name="Product Listing"/>
        <doctype name="Product Labeler"/>
        <doctype name="KitDevice4"/>
        <doctype name="KitDevice-PLR4"/>
        <doctype name="Cosmetic4"/>
        <doctype name="MedicalFood4"/>
        <doctype name="DietarySupplement4"/>
        <doctype name="OTC-PLR4"/>
      </doctypes>
      <keyworddef id="keyword_Brand_name" name="Brand name" type="text"/>
      <keyworddef id="keyword_Generic_name" name="Generic name" type="text"/>
      <keyworddef constrained="no" id="keyword_Dosage_form" name="Dosage form" vocabid="vocabid_Dosage_form"/>
      <keyworddef id="keyword_Dosage_strength" name="Dosage strength" type="text"/>
      <keyworddef id="keyword_Drug_substance" name="Active ingredient" type="text"/>
      <keyworddef id="keyword_Indication" name="Indication" type="text"/>
      <keyworddef id="keyword_Therapeutic_group" name="Therapeutic group" type="text"/>
      <keyworddef constrained="no" id="keyword_Administration_route" name="Administration route" vocabid="vocabid_Administration_route"/>
      <keyworddef constrained="no" id="keyword_Package" name="Package type" vocabid="vocabid_Package"/>
    </keywordset>
    <keywordset name="All QRDs">
      <doctypes>
        <doctype name="CCDS"/>
        <doctype name="SPC"/>
        <doctype name="PL"/>
      </doctypes>
      <keyworddef id="keyword_Application_number" name="Application number"/>
      <keyworddef id="keyword_Authoring_site" name="Authoring site"/>
      <keyworddef constrained="yes" id="keyword_Language" name="Language" vocabid="vocabid_Language"/>
      <keyworddef id="keyword_Brand_name" name="Product name"/>
      <keyworddef constrained="no" id="keyword_Generic_name" name="INN" vocabid="vocabid_Generic_name"/>
      <keyworddef id="Qualifier Before Name" name="Qualifier Before Name"/>
      <keyworddef id="kw:PPN" name="PPN"/>
      <keyworddef id="Qualifier After Name" name="Qualifier After Name"/>
      <keyworddef id="Dosage strength" name="Dosage strength"/>
    </keywordset>
    <keywordset name="EULM">
      <doctypes>
        <doctype name="EU Label Master"/>
      </doctypes>
      <keyworddef id="keyword_Application_number" name="Application number"/>
      <keyworddef id="keyword_Authoring_site" name="Authoring site"/>
      <keyworddef constrained="yes" id="keyword_Language" name="Language" vocabid="vocabid_Language"/>
      <keyworddef id="keyword_PIM_description" name="PIM Application Description"/>
      <keyworddef id="keyword_Brand_name" name="Product name"/>
      <keyworddef constrained="no" id="keyword_Generic_name" name="INN" vocabid="vocabid_Generic_name"/>
    </keywordset>
    <keywordset name="ASABE">
      <doctypes>
        <doctype name="Article"/>
      </doctypes>
      <keyworddef id="keyword_model" name="Model"/>
      <keyworddef id="keyword_method" name="Method"/>
    </keywordset>
  </keywords>
  <ValuesListSet>
    <ValuesList id="vocabid_Country">
      <doctypes>
        <doctype display="Country" name="CCDS"/>
        <doctype display="Country" name="SPC"/>
        <doctype display="Country" name="PL"/>
        <doctype display="Country" name="EU Label Master"/>
      </doctypes>
      <Value>- n/a</Value>
      <Value>Afghanistan</Value>
      <Value>Albania</Value>
      <Value>Algeria</Value>
      <Value>American Samoa</Value>
      <Value>Andorra</Value>
      <Value>Angola</Value>
      <Value>Anguilla</Value>
      <Value>Antarctica</Value>
      <Value>Antigua and Barbuda</Value>
      <Value>Argentina</Value>
      <Value>Armenia</Value>
      <Value>Aruba</Value>
      <Value>Australia</Value>
      <Value>Austria</Value>
      <Value>Azerbaijan</Value>
      <Value>Bahamas</Value>
      <Value>Bahrain</Value>
      <Value>Bangladesh</Value>
      <Value>Barbados</Value>
      <Value>Belarus</Value>
      <Value>Belgium</Value>
      <Value>Belize</Value>
      <Value>Benin</Value>
      <Value>Bermuda</Value>
      <Value>Bolivia</Value>
      <Value>Bosnia and Herzegovina</Value>
      <Value>Botswana</Value>
      <Value>Bouvet Island</Value>
      <Value>Brazil</Value>
      <Value>British Indian Ocean Territory</Value>
      <Value>Brunei Darussalam</Value>
      <Value>Bulgaria</Value>
      <Value>Burkina Faso</Value>
      <Value>Burundi</Value>
      <Value>Cambodia</Value>
      <Value>Cameroon</Value>
      <Value>Canada</Value>
      <Value>Cap Verde</Value>
      <Value>Cayman Islands</Value>
      <Value>Central African Republic</Value>
      <Value>Chad</Value>
      <Value>Chile</Value>
      <Value>China</Value>
      <Value>Christmas Island</Value>
      <Value>CIS</Value>
      <Value>Cocos (Keeling) Islands</Value>
      <Value>Colombia</Value>
      <Value>Comoro Islands</Value>
      <Value>Congo</Value>
      <Value>Congo The Democratic Republic of the</Value>
      <Value>Cook Islands</Value>
      <Value>Costa Rica</Value>
      <Value>Cote d Ivoire</Value>
      <Value>Croatia</Value>
      <Value>Cuba</Value>
      <Value>Cyprus</Value>
      <Value>Czech Republic</Value>
      <Value>Czechoslovakia</Value>
      <Value>Denmark</Value>
      <Value>Djibouti</Value>
      <Value>Dominica</Value>
      <Value>Dominican Republic</Value>
      <Value>Ecuador</Value>
      <Value>Egypt</Value>
      <Value>El Salvador</Value>
      <Value>Equatorial Guinea</Value>
      <Value>Eritrea</Value>
      <Value>Estonia</Value>
      <Value>Ethiopia</Value>
      <Value>Falkland Islands (Malvinas)</Value>
      <Value>Faroe Islands</Value>
      <Value>Fiji</Value>
      <Value>Finland</Value>
      <Value>France</Value>
      <Value>French Guiana</Value>
      <Value>French Polynesia</Value>
      <Value>French Southern Territories</Value>
      <Value>Gabon</Value>
      <Value>Gambia</Value>
      <Value>Georgia</Value>
      <Value>Germany</Value>
      <Value>Ghana</Value>
      <Value>Gibraltar</Value>
      <Value>Greece</Value>
      <Value>Greenland</Value>
      <Value>Grenada</Value>
      <Value>Guadeloupe</Value>
      <Value>Guam</Value>
      <Value>Guatemala</Value>
      <Value>Guinea</Value>
      <Value>Guinea-Bissau</Value>
      <Value>Guyana</Value>
      <Value>Haiti</Value>
      <Value>Heard Island And Mcdonald Islands</Value>
      <Value>Holy See (Vatican City State)</Value>
      <Value>Honduras</Value>
      <Value>Hong Kong</Value>
      <Value>Hungary</Value>
      <Value>Iceland</Value>
      <Value>India</Value>
      <Value>Indonesia</Value>
      <Value>Iran Islamic Republic of</Value>
      <Value>Iraq</Value>
      <Value>Ireland</Value>
      <Value>Israel</Value>
      <Value>Italy</Value>
      <Value>Jamaica</Value>
      <Value>Japan</Value>
      <Value>Jordan</Value>
      <Value>Kazakhstan</Value>
      <Value>Kenya</Value>
      <Value>Kiribati</Value>
      <Value>Korea Democratic Peoples Republic of</Value>
      <Value>Korea Republic of</Value>
      <Value>Kuwait</Value>
      <Value>Kyrgyzstan</Value>
      <Value>Laos</Value>
      <Value>Latvia</Value>
      <Value>Lebanon</Value>
      <Value>Lesotho</Value>
      <Value>Liberia</Value>
      <Value>Libyan Arab Jamahiriya</Value>
      <Value>Liechtenstein</Value>
      <Value>Lithuania</Value>
      <Value>Luxembourg</Value>
      <Value>Macao</Value>
      <Value>Macedonia The former Yugoslav Republic of</Value>
      <Value>Madagascar</Value>
      <Value>Malawi</Value>
      <Value>Malaysia</Value>
      <Value>Maldives</Value>
      <Value>Mali</Value>
      <Value>Malta</Value>
      <Value>Marshall Islands</Value>
      <Value>Martinique</Value>
      <Value>Mauritania</Value>
      <Value>Mauritius</Value>
      <Value>Mayotte</Value>
      <Value>Mexico</Value>
      <Value>Micronesia, Federated States of</Value>
      <Value>Moldova Republic of</Value>
      <Value>Monaco</Value>
      <Value>Mongolia</Value>
      <Value>Montenegro</Value>
      <Value>Montserrat</Value>
      <Value>Morocco</Value>
      <Value>Mozambique</Value>
      <Value>Myanmar</Value>
      <Value>n. A.</Value>
      <Value>Namibia</Value>
      <Value>Nauru</Value>
      <Value>Nepal</Value>
      <Value>Netherlands</Value>
      <Value>Netherlands Antilles</Value>
      <Value>New Caledonia</Value>
      <Value>New Zealand</Value>
      <Value>Nicaragua</Value>
      <Value>Niger</Value>
      <Value>Nigeria</Value>
      <Value>Niue</Value>
      <Value>Norfolk Island</Value>
      <Value>Northern Mariana Islands</Value>
      <Value>Norway</Value>
      <Value>Oceania</Value>
      <Value>Oman</Value>
      <Value>Pakistan</Value>
      <Value>Palau</Value>
      <Value>Palestinian Territory, Occupied</Value>
      <Value>Panama</Value>
      <Value>Papua New Guinea</Value>
      <Value>Paraguay</Value>
      <Value>Peru</Value>
      <Value>Philippines</Value>
      <Value>Pitcairn Islands</Value>
      <Value>Poland</Value>
      <Value>Portugal</Value>
      <Value>Puerto Rico</Value>
      <Value>Qatar</Value>
      <Value>Réunion</Value>
      <Value>Romania</Value>
      <Value>Russian Federation</Value>
      <Value>Rwanda</Value>
      <Value>Saint Helena</Value>
      <Value>Saint Kitts and Nevis</Value>
      <Value>Saint Lucia</Value>
      <Value>Saint Vincent and the Grenadines</Value>
      <Value>Samoa</Value>
      <Value>San Marino</Value>
      <Value>Sao Tome and Principe</Value>
      <Value>Saudi Arabia</Value>
      <Value>Senegal</Value>
      <Value>Serbia</Value>
      <Value>Serbia and Montenegro</Value>
      <Value>Seychellen</Value>
      <Value>Sierra Leone</Value>
      <Value>Singapore</Value>
      <Value>Slovakia</Value>
      <Value>Slovenia</Value>
      <Value>Solomon Islands</Value>
      <Value>Somalia</Value>
      <Value>South Africa</Value>
      <Value>South Georgia and The South Sandwich Islands</Value>
      <Value>South Yemen</Value>
      <Value>Spain</Value>
      <Value>Sri Lanka</Value>
      <Value>Srpska</Value>
      <Value>Sudan</Value>
      <Value>Suriname</Value>
      <Value>Svalbard and Jan Mayen</Value>
      <Value>Swaziland</Value>
      <Value>Sweden</Value>
      <Value>Switzerland</Value>
      <Value>Syrian Arab Republic</Value>
      <Value>Taiwan Province of China</Value>
      <Value>Tajikistan</Value>
      <Value>Tanzania United Republic of</Value>
      <Value>Thailand</Value>
      <Value>Timor-Leste</Value>
      <Value>Togo</Value>
      <Value>Tokelau</Value>
      <Value>Tonga</Value>
      <Value>Trinidad and Tobago</Value>
      <Value>Tunisia</Value>
      <Value>Turkey</Value>
      <Value>Turkmenistan</Value>
      <Value>Turks and Caicos Islands</Value>
      <Value>Tuvalu</Value>
      <Value>Uganda</Value>
      <Value>Ukraine</Value>
      <Value>United Arab Emirates</Value>
      <Value>United Kingdom</Value>
      <Value>United States</Value>
      <Value>United States Minor Outlying Islands</Value>
      <Value>Uruguay</Value>
      <Value>USSR</Value>
      <Value>Uzbekistan</Value>
      <Value>Vanuatu</Value>
      <Value>Venezuela</Value>
      <Value>Viet Nam</Value>
      <Value>Virgin Islands, British</Value>
      <Value>Wallis and Futuna</Value>
      <Value>Western Sahara</Value>
      <Value>Yemen</Value>
      <Value>Zambia</Value>
      <Value>Zimbabwe</Value>
    </ValuesList>
    <ValuesList id="vocabid_Language">
      <doctypes>
        <doctype display="Language" name="CCDS"/>
        <doctype display="Language" name="SPC"/>
        <doctype display="Language" name="PL"/>
        <doctype display="Language" name="EU Label Master"/>
      </doctypes>
      <Value>- n/a</Value>
      <Value>af (Afrikaans)</Value>
      <Value>ar (Arabic)</Value>
      <Value>bg (Bulgarian)</Value>
      <Value>bn (Bengali)</Value>
      <Value>bs (Bosnian)</Value>
      <Value>cs (Czech)</Value>
      <Value>da (Danish)</Value>
      <Value>de (German)</Value>
      <Value>el (Greek)</Value>
      <Value>en (English)</Value>
      <Value>es (Spanish)</Value>
      <Value>et (Estonian)</Value>
      <Value>fa (Farsi)</Value>
      <Value>fa (Persian)</Value>
      <Value>fi (Finnish)</Value>
      <Value>fr (French)</Value>
      <Value>he (Hebrew)</Value>
      <Value>hr (Croatian)</Value>
      <Value>hu (Hungarian)</Value>
      <Value>id (Indonesian)</Value>
      <Value>is (Icelandic)</Value>
      <Value>it (Italian)</Value>
      <Value>ja (Japanese)</Value>
      <Value>kk (Kazakh)</Value>
      <Value>ko (Korean)</Value>
      <Value>la (Latin)</Value>
      <Value>lt (Lithuanian)</Value>
      <Value>lv (Latvian)</Value>
      <Value>mk (Macedonian)</Value>
      <Value>ms (Malaysian)</Value>
      <Value>mt (Maltese)</Value>
      <Value>n. A.</Value>
      <Value>nl (Dutch)</Value>
      <Value>no (Norwegian)</Value>
      <Value>pl (Polish)</Value>
      <Value>pt (Portuguese)</Value>
      <Value>ro (Romanian)</Value>
      <Value>ru (Russian)</Value>
      <Value>si (Singhali)</Value>
      <Value>sk (Slovakian)</Value>
      <Value>sl (Slovenian)</Value>
      <Value>sq (Albanian)</Value>
      <Value>sr (Serbian)</Value>
      <Value>sv (Swedish)</Value>
      <Value>sw (Swaheli)</Value>
      <Value>ta (Tamil)</Value>
      <Value>th (Thai)</Value>
      <Value>tr (Turkish)</Value>
      <Value>uk (Ukrainian)</Value>
      <Value>vi (Vietnamese)</Value>
      <Value>zh (Chinese)</Value>
    </ValuesList>
    <ValuesList id="vocabid_Brand_name">
      <doctypes>
        <doctype display="Product Name" name="CCDS"/>
        <doctype display="Product Name" name="SPC"/>
        <doctype display="Product Name" name="PL"/>
        <doctype display="Product Name" name="EU Label Master"/>
      </doctypes>
      <Value>- n/a</Value>
      <Value>Ablacton</Value>
      <Value>Aciclovir</Value>
      <Value>Acid Mantle</Value>
      <Value>Aclasta</Value>
      <Value>Actron</Value>
      <Value>ACTRON PLUS</Value>
      <Value>AcuTect</Value>
      <Value>Ambroxol</Value>
      <Value>Ambroxol-Clenbuterol</Value>
      <Value>Amiada</Value>
      <Value>Amipaque</Value>
      <Value>Amlodipine</Value>
      <Value>Amoxicillin</Value>
      <Value>Antibioticx</Value>
      <Value>Apracur</Value>
      <Value>Asacol</Value>
      <Value>Asche Basis</Value>
      <Value>Ascorbic acid-Sodium Ascorbate</Value>
      <Value>Ascorvit</Value>
      <Value>Asmalide</Value>
      <Value>Asparaginase</Value>
      <Value>Aspenon</Value>
      <Value>Aspirin</Value>
      <Value>Aspisol</Value>
      <Value>Atosil</Value>
      <Value>Avaden</Value>
      <Value>Avelox</Value>
      <Value>AVINZA®</Value>
      <Value>Baclon</Value>
      <Value>Barigraf</Value>
      <Value>Barium Sulfate</Value>
      <Value>Barnetil</Value>
      <Value>Baycillin</Value>
      <Value>Baynas</Value>
      <Value>Baypen</Value>
      <Value>Baypress</Value>
      <Value>Bayro</Value>
      <Value>BCG</Value>
      <Value>Beien</Value>
      <Value>Belladonna</Value>
      <Value>Beta-Adalat</Value>
      <Value>Betades</Value>
      <Value>Betaferon</Value>
      <Value>Betamethasone</Value>
      <Value>Betapace</Value>
      <Value>Betapace AF</Value>
      <Value>Betaserc</Value>
      <Value>Bonefos</Value>
      <Value>Brevibloc</Value>
      <Value>Bromazepam</Value>
      <Value>Bufluidat</Value>
      <Value>Bupivacain</Value>
      <Value>Buscopan</Value>
      <Value>Echovist</Value>
      <Value>Eisenfumarat</Value>
      <Value>Elantan</Value>
      <Value>Elixophyllin</Value>
      <Value>Elumatic III</Value>
      <Value>Enalapril</Value>
      <Value>Endografin</Value>
      <Value>Endometrion</Value>
      <Value>Endoxan</Value>
      <Value>Erbium [169Er] citrate</Value>
      <Value>Erycinum</Value>
      <Value>Erythromycin</Value>
      <Value>Erythromycin Stearate</Value>
      <Value>Essaven</Value>
      <Value>Estracomb TTS</Value>
      <Value>Estraderm</Value>
      <Value>Estraderm Plus</Value>
      <Value>Estradiol</Value>
      <Value>Estreva</Value>
      <Value>Estriol</Value>
      <Value>Estrogel</Value>
      <Value>Estronorm</Value>
      <Value>Ethinylestradiol</Value>
      <Value>Etidronat</Value>
      <Value>Etoscol</Value>
      <Value>Eugynon</Value>
      <Value>Evestrel</Value>
      <Value>Exoderil</Value>
      <Value>G-Strophanthin</Value>
      <Value>Gadovist</Value>
      <Value>Gastrografin</Value>
      <Value>Gastrovison</Value>
      <Value>Gastrovist</Value>
      <Value>Gemfibrozil</Value>
      <Value>Gentamicin</Value>
      <Value>Glianimon</Value>
      <Value>Glianimon</Value>
      <Value>Glucobay</Value>
      <Value>Gravibinon</Value>
      <Value>Gravistat</Value>
      <Value>Gynamon</Value>
      <Value>Gyno-Travogen</Value>
      <Value>Gynodian Depot</Value>
      <Value>Holoxan</Value>
      <Value>Honvan</Value>
      <Value>Hydrocortison</Value>
      <Value>Hydrocutan</Value>
      <Value>Hypso</Value>
      <Value>ImmunoGam</Value>
      <Value>K.H.3</Value>
      <Value>Kaban</Value>
      <Value>Kabanimat</Value>
      <Value>Ketoconazol MK</Value>
      <Value>Ketotifen</Value>
      <Value>Kinetin</Value>
      <Value>Kira</Value>
      <Value>Klimonorm</Value>
      <Value>Kogenate Bayer</Value>
      <Value>Kwai</Value>
      <Value>Ladotec</Value>
      <Value>Lampit</Value>
      <Value>Lansoprazole</Value>
      <Value>Lanthanum carbonate</Value>
      <Value>Lenen</Value>
      <Value>Leukine</Value>
      <Value>Levitra</Value>
      <Value>Levofloxacin</Value>
      <Value>Levovist</Value>
      <Value>Levulan</Value>
      <Value>Lidocaine</Value>
      <Value>Lincomycina MK</Value>
      <Value>Liquibas</Value>
      <Value>Loratadine</Value>
      <Value>Loratadine-Pseudoephedrine</Value>
      <Value>Losartan</Value>
      <Value>Lovée</Value>
      <Value>Lugesteron</Value>
      <Value>Luminal</Value>
      <Value>Lurantal</Value>
      <Value>Lutenyl</Value>
      <Value>Magnesium</Value>
      <Value>Magnevist</Value>
      <Value>Marophen</Value>
      <Value>Maveral</Value>
      <Value>Medrocis</Value>
      <Value>Meliane</Value>
      <Value>Menostar</Value>
      <Value>Mesigyna</Value>
      <Value>Metformin</Value>
      <Value>Methylprednisolon</Value>
      <Value>MIBG-131-D</Value>
      <Value>MIBG-131-T</Value>
      <Value>Micanol</Value>
      <Value>Microgynon</Value>
      <Value>Microlut</Value>
      <Value>Mifurol</Value>
      <Value>Milligynon</Value>
      <Value>Milvane</Value>
      <Value>Mini</Value>
      <Value>Minias</Value>
      <Value>Miniphase</Value>
      <Value>Minisiston</Value>
      <Value>Minoclir</Value>
      <Value>Miradol</Value>
      <Value>Miranova</Value>
      <Value>Mirelle</Value>
      <Value>Mirena</Value>
      <Value>Mittoval</Value>
      <Value>Moexipril</Value>
      <Value>Mometasone</Value>
      <Value>MonoStep</Value>
      <Value>Mucosolvan</Value>
      <Value>Multivitamins with Minerals Nutritional Supplement</Value>
      <Value>Mupirocin</Value>
      <Value>Mycanden</Value>
      <Value>Myelografin</Value>
      <Value>Myocet</Value>
      <Value>Noctamid</Value>
      <Value>Non Ovlon</Value>
      <Value>Norethisteron</Value>
      <Value>Norfloxacin</Value>
      <Value>Noristerat</Value>
      <Value>Normacol</Value>
      <Value>Normosang</Value>
      <Value>Norplant</Value>
      <Value>Nortase</Value>
      <Value>Nova T</Value>
      <Value>Novarok</Value>
      <Value>NovoMix</Value>
      <Value>Nuvelle</Value>
      <Value>Nystatin</Value>
      <Value>Radialar</Value>
      <Value>Radiopaque</Value>
      <Value>Raloxifene</Value>
      <Value>Ranitidine</Value>
      <Value>Rantudil</Value>
      <Value>Rayvist</Value>
      <Value>Recofol</Value>
      <Value>Redul</Value>
      <Value>Refludan</Value>
      <Value>Remotiv</Value>
      <Value>Renocis</Value>
      <Value>Resochin</Value>
      <Value>Resovist</Value>
      <Value>Retacillin</Value>
      <Value>Rhenium [186Re] sulphide</Value>
      <Value>Rheuma</Value>
      <Value>Riball</Value>
      <Value>Rifampicin</Value>
      <Value>Rondo</Value>
      <Value>Rytmonorm</Value>
      <Value>Thymanax</Value>
      <Value>Vagizol</Value>
      <Value>Valeriana</Value>
      <Value>Valette</Value>
      <Value>Vancomycin</Value>
      <Value>Vasculocis</Value>
      <Value>Vasomotal</Value>
      <Value>Vasovist</Value>
      <Value>Vaspit</Value>
      <Value>Ventavis</Value>
      <Value>Veradol</Value>
      <Value>Veramon</Value>
      <Value>Water</Value>
      <Value>Wellnara</Value>
      <Value>Xapro</Value>
      <Value>Xarelto</Value>
      <Value>Xylocitin</Value>
      <Value>Yasmin</Value>
      <Value>Yasminelle</Value>
      <Value>Yaz</Value>
      <Value>Yomesan</Value>
      <Value>Yomesan</Value>
      <Value>Ytracis</Value>
      <Value>Yttrium [90Y]</Value>
    </ValuesList>
    <ValuesList id="vocabid_PPNF">
      <doctypes>
        <doctype display="PPNF" name="CCDS"/>
        <doctype display="PPNF" name="SPC"/>
        <doctype display="Product Name and Form" name="PL"/>
        <doctype display="PPNF" name="EU Label Master"/>
      </doctypes>
      <Value>- n/a</Value>
      <Value>Ablacton Solution</Value>
      <Value>Aciclovir; 200 mg; Tablet</Value>
      <Value>Aciclovir; 400 mg; Tablet</Value>
      <Value>Aciclovir; 5 %; Cream</Value>
      <Value>Aciclovir; 800 mg; Tablet</Value>
      <Value>Acid Mantle; 0.015 %; Cutaneous liquid</Value>
      <Value>Acid Mantle; 0.05 %; Cream</Value>
      <Value>Acid Mantle; 0.059 %; Cutaneous liquid</Value>
      <Value>Acid Mantle; 0.5 %; Ear drops, solution</Value>
      <Value>Aclasta; 5 mg/100 ml; Solution for injection</Value>
      <Value>ACTRON PLUS; Capsule, soft</Value>
      <Value>Actron; 100 mg/5 ml; Oral suspension</Value>
      <Value>Actron; 200 mg; Capsule, soft</Value>
      <Value>Actron; 200 mg; Tablet</Value>
      <Value>Actron; 40 mg/1 ml; Oral drops, suspension</Value>
      <Value>Actron; 400 mg; Capsule, soft</Value>
      <Value>Actron; 400 mg; Tablet</Value>
      <Value>Actron; 600 mg; Capsule, soft</Value>
      <Value>Actron; 600 mg; Tablet</Value>
      <Value>AcuTect Combipack</Value>
      <Value>Ambroxol-Clenbuterol; Oral solution</Value>
      <Value>Ambroxol; 0.3 %; Syrup</Value>
      <Value>Ambroxol; 15 mg/5 ml; Syrup</Value>
      <Value>Ambroxol; 30 mg; Capsule</Value>
      <Value>Amiada 125 mg; Tablets</Value>
      <Value>Amiada 250 mg; Tablets</Value>
      <Value>Amipaque 13.5 g; Powder</Value>
      <Value>Amipaque 3.75 g; Powder</Value>
      <Value>Amipaque 6.75 g; Powder</Value>
      <Value>Amlodipine; 10 mg; Tablet</Value>
      <Value>Amlodipine; 5 mg; Tablet</Value>
      <Value>Amoxicillin; 1000 mg; Film-coated tablet</Value>
      <Value>Amoxicillin; 125 mg/5 ml; Powder for oral suspension</Value>
      <Value>Amoxicillin; 250 mg/5 ml; Powder for oral suspension</Value>
      <Value>Amoxicillin; 500 mg/5 ml; Powder for oral suspension</Value>
      <Value>Amoxicillin; 500 mg; Capsule</Value>
      <Value>Antibioticx Tablet</Value>
      <Value>Apracur Coated Tablets</Value>
      <Value>Asacol 400 mg; Film Tablets</Value>
      <Value>Asacol 500 mg; Suppositories</Value>
      <Value>Asacol 800 mg; Film Tablets</Value>
      <Value>Asacol Rectal 1 g; Suspension</Value>
      <Value>Asacol Rectal 2 g; Suspension</Value>
      <Value>Asacol Rectal 4 g; Suspension</Value>
      <Value>Asche Basis Cream</Value>
      <Value>Asche Basis Fatty Ointment</Value>
      <Value>Asche Basis Med Fatty Ointment</Value>
      <Value>Asche Basis Milk</Value>
      <Value>Asche Basis Ointment</Value>
      <Value>Asche Basis Sun; After Sun Milk</Value>
      <Value>Asche Basis Sun; Display</Value>
      <Value>Asche Basis Sun; Gel</Value>
      <Value>Asche Basis Sun; Milk</Value>
      <Value>Ascorbic acid-Sodium Ascorbate; Chewable tablet</Value>
      <Value>Ascorbic acid-Sodium Ascorbate; Tablet</Value>
      <Value>Ascorvit 200 mg; Coated Tablets</Value>
      <Value>Ascorvit 500 mg; Coated Tablets</Value>
      <Value>Ascorvit 500 mg; Solution</Value>
      <Value>Asmalide 2mg; Tablets</Value>
      <Value>Asmalide Syrup</Value>
      <Value>Asparaginase 10000 I.U.; Powder</Value>
      <Value>Asparaginase 5000 I.U.; Powder</Value>
      <Value>Aspenon 1 %; Solution</Value>
      <Value>Aspenon 10 mg; Capsules</Value>
      <Value>Aspenon 20 mg; Capsules</Value>
      <Value>Aspirin; 100 mg; Gastro-resistant tablet</Value>
      <Value>Aspirin; 300 mg; Gastro-resistant tablet</Value>
      <Value>Aspisol; 1000 mg; Powder and solvent for solution for infusion</Value>
      <Value>Aspisol; 900 mg; Powder and solvent for solution for injection</Value>
      <Value>Atosil; 20 mg/1 ml; Oral drops</Value>
      <Value>Atosil; 25 mg; Film-coated tablet</Value>
      <Value>Atosil; 50 mg/2 ml; Solution for injection</Value>
      <Value>Avaden 1; 28 Film Tablets</Value>
      <Value>Avaden 2; 28 Film Tablets</Value>
      <Value>Avelox; 0.16 %/250 ml; Solution for infusion</Value>
      <Value>Avelox; 400 mg; Film-coated tablet</Value>
      <Value>Baclon 10 mg; Tablets</Value>
      <Value>Baclon 25 mg; Tablets</Value>
      <Value>Barigraf 250 g; Powder</Value>
      <Value>Barigraf 340 g; Powder</Value>
      <Value>Barigraf 454 g; Powder</Value>
      <Value>Barigraf 570 g; Powder</Value>
      <Value>Barium Sulfate Oral; Powder</Value>
      <Value>Barium Sulfate Oral; Suspension</Value>
      <Value>Barium Sulfate Rectal; Powder</Value>
      <Value>Barium Sulfate Rectal; Suspension</Value>
      <Value>Barnetil 100 mg; Film Tablets</Value>
      <Value>Barnetil 200 mg; Film Tablets</Value>
      <Value>Barnetil 50 mg; Film Tablets</Value>
      <Value>Barnetil 500; Powder</Value>
      <Value>Baycillin; 1 mega ie; Film-coated tablet</Value>
      <Value>Baycillin; 700 mg; Film-coated tablet</Value>
      <Value>Baynas; 50 mg; Tablet</Value>
      <Value>Baynas; 75 mg; Tablet</Value>
      <Value>Baypen; 0.5 g; Powder for solution for infusion</Value>
      <Value>Baypen; 1 g; Powder for solution for infusion</Value>
      <Value>Baypen; 2 g; Powder for solution for infusion</Value>
      <Value>Baypen; 4 g; Powder for solution for infusion</Value>
      <Value>Baypen; 5 g; Powder for solution for infusion</Value>
      <Value>Baypress; 10 mg; Tablet</Value>
      <Value>Baypress; 20 mg; Tablet</Value>
      <Value>Baypress; 5 mg; Oral solution</Value>
      <Value>Bayro; 1 g/2 ml; Solution for injection</Value>
      <Value>Bayro; 10 %; Cream</Value>
      <Value>Bayro; 10 %; Cutaneous emulsion</Value>
      <Value>Bayro; 10 %; Cutaneous spray</Value>
      <Value>Bayro; 10 %; Gel</Value>
      <Value>Bayro; 5 %; Gel</Value>
      <Value>Bayro; Active Ingredient</Value>
      <Value>Beien 100 mg; Capsules</Value>
      <Value>Beien 250 mg; Tablets</Value>
      <Value>Belladonna Powder</Value>
      <Value>Belladonna Tablets</Value>
      <Value>Beta-Adalat; Capsule</Value>
      <Value>Betades Tablets</Value>
      <Value>Betaferon Combipack</Value>
      <Value>Betamethasone; 0.1 %; Cream</Value>
      <Value>Betapace 120 mg; Tablets</Value>
      <Value>Betapace 160 mg; Tablets</Value>
      <Value>Betapace 240 mg; Tablets</Value>
      <Value>Betapace 80 mg; Tablets</Value>
      <Value>Betapace AF 100 mg; Tablets</Value>
      <Value>Betapace AF 120 mg; Tablets</Value>
      <Value>Betapace AF 160 mg; Tablets</Value>
      <Value>Betapace AF 40 mg; Tablets</Value>
      <Value>Betapace AF 60 mg; Tablets</Value>
      <Value>Betapace AF 80 mg; Tablets</Value>
      <Value>Betaserc 16 mg; Tablets</Value>
      <Value>Bonefos 400 mg; Capsules</Value>
      <Value>Bonefos 400 mg; Tablets</Value>
      <Value>Bonefos 800 mg; Tablets</Value>
      <Value>Bonefos Solution</Value>
      <Value>Brevibloc 10 mg; Solution</Value>
      <Value>Brevibloc 250 mg; Solution</Value>
      <Value>Bromazepam; 3 mg; Tablet</Value>
      <Value>Bromazepam; 6 mg; Tablet</Value>
      <Value>Bufluidat 150; Film Tablets</Value>
      <Value>Bufluidat 300; Film Tablets</Value>
      <Value>Bupivacain 0.25 %; Solution</Value>
      <Value>Bupivacain 0.5 % mit Epinephrin 0.0005 %; Solution</Value>
      <Value>Bupivacain 0.5 %; Solution</Value>
      <Value>Buscopan; solution</Value>
      <Value>Echovist 200; Combipack</Value>
      <Value>Echovist 300; Combipack</Value>
      <Value>Eisenfumarat 75 mg; Film Tablets</Value>
      <Value>Elantan 20 mg; Tablets</Value>
      <Value>Elantan 40 mg; Tablets</Value>
      <Value>Elixophyllin Elixir</Value>
      <Value>Elixophyllin KI Elixir</Value>
      <Value>Elixophyllin SR 125 mg; Tablets</Value>
      <Value>Elixophyllin SR 250 mg; Tablets</Value>
      <Value>Elumatic III Radionuclide generator</Value>
      <Value>Enalapril; 10 mg; Tablet</Value>
      <Value>Enalapril; 2.5 mg; Tablet</Value>
      <Value>Enalapril; 20 mg; Tablet</Value>
      <Value>Enalapril; 5 mg; Tablet</Value>
      <Value>Endografin Solution</Value>
      <Value>Endometrion Tablets</Value>
      <Value>Endoxan Coated Tablets</Value>
      <Value>Endoxan Solution</Value>
      <Value>Erbium [169Er] citrate Suspension</Value>
      <Value>Erycinum Film Tablets</Value>
      <Value>Erythromycin Stearate; 500 mg; Tablet</Value>
      <Value>Erythromycin; 125 mg/5 ml; Oral suspension</Value>
      <Value>Erythromycin; 250 mg/5 ml; Oral suspension</Value>
      <Value>Essaven Capsules</Value>
      <Value>Essaven Gel</Value>
      <Value>Estracomb TTS Patch</Value>
      <Value>Estraderm MX 100; Patch</Value>
      <Value>Estraderm MX 25; Patch</Value>
      <Value>Estraderm MX 50; Patch</Value>
      <Value>Estraderm Plus TTS 50; Patch</Value>
      <Value>Estraderm TTS 100; Patch</Value>
      <Value>Estraderm TTS 25; Patch</Value>
      <Value>Estraderm TTS 50; Patch</Value>
      <Value>Estradiol 2 mg; Tablets</Value>
      <Value>Estradiol 4 mg; Tablets</Value>
      <Value>Estradiol Depot 10 mg; Solution</Value>
      <Value>Estradiol Depot 5mg; Solution</Value>
      <Value>Estreva Gel</Value>
      <Value>Estreva Tablets</Value>
      <Value>Estriol 0.5 mg; Ovula</Value>
      <Value>Estriol 2 mg; Tablets</Value>
      <Value>Estrogel Gel</Value>
      <Value>Estronorm 1 mg; Film Tablets</Value>
      <Value>Estronorm 2 mg; Film Tablets</Value>
      <Value>Ethinylestradiol 25; Coated Tablets</Value>
      <Value>Etidronat 200 mg; Tablets</Value>
      <Value>Etoscol Solution</Value>
      <Value>Etoscol Tablets</Value>
      <Value>Eugynon 50; 21 Coated Tablets</Value>
      <Value>Eugynon 50; 21+7 Coated Tablets</Value>
      <Value>Evestrel Film Tablets</Value>
      <Value>Exoderil Cream</Value>
      <Value>Exoderil Gel</Value>
      <Value>Exoderil Solution</Value>
      <Value>Exoderil Spray</Value>
      <Value>G-Strophanthin 250; Solution</Value>
      <Value>Gadovist 0.5; Solution</Value>
      <Value>Gadovist 1; Solution</Value>
      <Value>Gastrografin Solution</Value>
      <Value>Gastrovison Combipack</Value>
      <Value>Gastrovist Solution</Value>
      <Value>Gemfibrozil; 600 mg; Film-coated tablet</Value>
      <Value>Gemfibrozil; 900 mg; Film-coated tablet</Value>
      <Value>Gentamicin; 160 mg/2 ml; Solution for injection</Value>
      <Value>Gentamicin; 80 mg/2 ml; Solution for injection</Value>
      <Value>Glianimon; 1 mg/1 ml Solution for injection</Value>
      <Value>Glianimon; 1 mg/1 ml; Solution for injection</Value>
      <Value>Glianimon; 10 mg Tablet</Value>
      <Value>Glianimon; 10 mg; Tablet</Value>
      <Value>Glianimon; 2 mg Tablet</Value>
      <Value>Glianimon; 2 mg/1 ml Oral solution</Value>
      <Value>Glianimon; 2 mg/1 ml; Oral solution</Value>
      <Value>Glianimon; 2 mg; Tablet</Value>
      <Value>Glianimon; 5 mg Tablet</Value>
      <Value>Glianimon; 5 mg; Tablet</Value>
      <Value>Glucobay; 100 mg; Tablet</Value>
      <Value>Glucobay; 25 mg; Tablet</Value>
      <Value>Glucobay; 50 mg; Tablet</Value>
      <Value>Glucobay; Active Ingredient</Value>
      <Value>Gravibinon; 1 Solution</Value>
      <Value>Gravibinon; 2 Solution</Value>
      <Value>Gravistat 125/50; 21 Coated Tablets</Value>
      <Value>Gravistat 250/50; 21 Coated Tablets</Value>
      <Value>Gynamon; 28 Film Tablets</Value>
      <Value>Gyno-Travogen Cream</Value>
      <Value>Gyno-Travogen P Cream</Value>
      <Value>Gyno-Travogen Vaginal 100 mg; Tablets</Value>
      <Value>Gyno-Travogen Vaginal 300 mg; Tablets</Value>
      <Value>Gyno-Travogen Vaginal 600 mg; Ovula</Value>
      <Value>Gynodian Depot Solution</Value>
      <Value>Holoxan Powder</Value>
      <Value>Honvan Solution</Value>
      <Value>Hydrocortison 10 mg; Tablets</Value>
      <Value>Hydrocutan 10 mg; Tablets</Value>
      <Value>Hypso Sun Cream</Value>
      <Value>Hypso Sun Lotion</Value>
      <Value>ImmunoGam 312 IU/ml solution for injection</Value>
      <Value>K.H.3 Capsules</Value>
      <Value>Kaban Cream</Value>
      <Value>Kaban Ointment</Value>
      <Value>Kabanimat Cream</Value>
      <Value>Kabanimat Ointment</Value>
      <Value>Ketoconazol MK; 2 %; Cream</Value>
      <Value>Ketoconazol MK; 200 mg; Tablet</Value>
      <Value>Ketoconazol MK; 25 mg; Capsule</Value>
      <Value>Ketotifen; 1 mg/5 ml; Syrup</Value>
      <Value>Ketotifen; 1 mg; Tablet</Value>
      <Value>Kinetin Powder</Value>
      <Value>Klimonorm; 21 Coated Tablets</Value>
      <Value>Kogenate Bayer; 1000 IU; Powder and solvent for solution for infusion</Value>
      <Value>Kogenate Bayer; 2000 IU; Powder and solvent for solution for infusion</Value>
      <Value>Kogenate Bayer; 250 IU; Powder and solvent for solution for infusion</Value>
      <Value>Kogenate Bayer; 500 IU; Powder and solvent for solution for infusion</Value>
      <Value>Ladotec 2.5 mg; Film Tablets</Value>
      <Value>Ladotec 5 mg; Film Tablets</Value>
      <Value>Lampit; 120 mg; Tablet</Value>
      <Value>Lampit; 30 mg; Tablet</Value>
      <Value>Lansoprazole; 30 mg; Capsule</Value>
      <Value>Lanthanum carbonate; 250 mg; Tablet</Value>
      <Value>Lanthanum carbonate; 500 mg; Tablet</Value>
      <Value>Lenen Powder</Value>
      <Value>Leukine 250; Powder</Value>
      <Value>Leukine 500; Solution</Value>
      <Value>Levitra; 10 mg; Film-coated tablet</Value>
      <Value>Levitra; 2.5 mg; Film-coated tablet</Value>
      <Value>Levitra; 20 mg; Film-coated tablet</Value>
      <Value>Levitra; 5 mg; Film-coated tablet</Value>
      <Value>Levofloxacin; 500 mg; Film-coated tablet</Value>
      <Value>Levofolene 4 mg; Tablets</Value>
      <Value>Levofolene 50 mg; Powder</Value>
      <Value>Levofolene 7.5 mg; Tablets</Value>
      <Value>Levofolene i.m. 25 mg; Solution</Value>
      <Value>Levofolene i.m. 7.5 mg; Solution</Value>
      <Value>Levofolene i.v. 100 mg; Solution</Value>
      <Value>Levofolene i.v. 175 mg; Solution</Value>
      <Value>Levofolene p.o. 7.5 mg; Solution</Value>
      <Value>Levovist 2.5 g; Combipack</Value>
      <Value>Levovist 4 g; Combipack</Value>
      <Value>Levulan Combipack</Value>
      <Value>Lidocaine; 1 %/2 ml; Solution for injection</Value>
      <Value>Lincomycina MK; 300 mg/1 ml; Solution for injection</Value>
      <Value>Lincomycina MK; 600 mg/2 ml; Solution for injection</Value>
      <Value>Liquibas Solution</Value>
      <Value>Loratadine-Pseudoephedrine; Syrup</Value>
      <Value>Loratadine; 10 mg; Tablet</Value>
      <Value>Loratadine; 5 mg/5 ml; Syrup</Value>
      <Value>Losartan; 50 mg; Film-coated tablet</Value>
      <Value>Lovée 20; 21 Coated Tablets</Value>
      <Value>Lovée 30; 21 Coated Tablets</Value>
      <Value>Lugesteron Capsules</Value>
      <Value>Luminal; 100 mg; Tablet</Value>
      <Value>Luminal; 15 mg; Tablet</Value>
      <Value>Luminal; 30 mg; Tablet</Value>
      <Value>Luminal; 50 mg; Tablet</Value>
      <Value>Lurantal 10 mg; Capsules</Value>
      <Value>Lurantal 20 mg; Capsules</Value>
      <Value>Lurantal 40 mg; Capsules</Value>
      <Value>Lurantal 5 mg; Capsules</Value>
      <Value>Lutenyl; 30 Tablets</Value>
      <Value>Magnesium 100 mg; Tablets</Value>
      <Value>Magnesium KT Tablets</Value>
      <Value>Magnevist Enteral Solution</Value>
      <Value>Magnevist i.v. Solution</Value>
      <Value>Magnevist Intraarticular Solution</Value>
      <Value>Marophen Suppositories</Value>
      <Value>Maveral 100 mg; Tablets</Value>
      <Value>Maveral 50 mg; Tablets</Value>
      <Value>Medrocis Powder</Value>
      <Value>Meliane; 21 Coated Tablets</Value>
      <Value>Meliane; 21+7 Coated Tablets</Value>
      <Value>Meliane; 23 Coated Tablets</Value>
      <Value>Meliane; 23+5 Coated Tablets</Value>
      <Value>Menostar 14; Patch</Value>
      <Value>Mesigyna Solution</Value>
      <Value>Metformin; 500 mg; Tablet</Value>
      <Value>Metformin; 850 mg; Tablet</Value>
      <Value>Methylprednisolon 16 mg; Tablets</Value>
      <Value>Methylprednisolon 4 mg; Tablets</Value>
      <Value>Methylprednisolon 8 mg; Tablets</Value>
      <Value>MIBG-131-D Solution</Value>
      <Value>MIBG-131-T Solution</Value>
      <Value>Micanol 1%; Cream</Value>
      <Value>Micanol 3%; Cream</Value>
      <Value>Microgynon 30; 21 Coated Tablets</Value>
      <Value>Microgynon 30; 21+7 Coated Tablets</Value>
      <Value>Microgynon 50; 21 Coated Tablets</Value>
      <Value>Microgynon 50; 21+7 Coated Tablets</Value>
      <Value>Microlut; 28 Coated Tablets</Value>
      <Value>Microlut; 35 Coated Tablets</Value>
      <Value>Mifurol 100 mg; Tablets</Value>
      <Value>Mifurol 200; Powder</Value>
      <Value>Milligynon; 28 Coated Tablets</Value>
      <Value>Milvane; 21 Coated Tablets</Value>
      <Value>Milvane; 21+7 Coated Tablets</Value>
      <Value>Minias 1 mg; Tablets</Value>
      <Value>Minias 2 mg; Tablets</Value>
      <Value>Minias Drops</Value>
      <Value>Miniphase; 21 Coated Tablets</Value>
      <Value>Minisiston; 21 Coated Tablets</Value>
      <Value>Minoclir 50 mg; Capsules</Value>
      <Value>Miradol 100 mg; Film Tablets</Value>
      <Value>Miradol 100; Powder</Value>
      <Value>Miradol 200 mg; Film Tablets</Value>
      <Value>Miradol 50 mg; Capsules</Value>
      <Value>Miradol 50 mg; Film Tablets</Value>
      <Value>Miradol 500; Powder</Value>
      <Value>Miranova; 21 Coated Tablets</Value>
      <Value>Miranova; 21+7 Coated Tablets</Value>
      <Value>Mirelle; 24 Film Tablets</Value>
      <Value>Mirelle; 24+4 Film Tablets</Value>
      <Value>Mirena IUS</Value>
      <Value>Mittoval 10 mg; Tablets</Value>
      <Value>Mittoval 2.5 mg; Tablets</Value>
      <Value>Mittoval 5 mg; Tablets</Value>
      <Value>Moexipril; 15 mg; Tablet</Value>
      <Value>Moexipril; 7.5 mg; Tablet</Value>
      <Value>Mometasone; 0.1 %; Cream</Value>
      <Value>MonoStep; 21 Coated Tablets</Value>
      <Value>Mucosolvan; solution</Value>
      <Value>Multivitamins with Minerals Nutritional Supplement; Film-coated tablet</Value>
      <Value>Mupirocin; 2 %; Ointment</Value>
      <Value>Mycanden Ointment</Value>
      <Value>Mycanden Solution</Value>
      <Value>Myelografin Solution</Value>
      <Value>Myocet 50 mg powder and pre-admixtures</Value>
      <Value>Noctamid 0.5 mg; Tablets</Value>
      <Value>Noctamid 1 mg; Tablets</Value>
      <Value>Noctamid 2 mg; Tablets</Value>
      <Value>Noctamid Drops</Value>
      <Value>Noctamid Solution</Value>
      <Value>Non Ovlon; 21 Coated Tablets</Value>
      <Value>Norethisteron 1 mg; Tablets</Value>
      <Value>Norethisteron 5 mg; Tablets</Value>
      <Value>Norfloxacin; 400 mg; Film-coated tablet</Value>
      <Value>Noristerat Solution</Value>
      <Value>Normacol Granules</Value>
      <Value>Normosang Solution</Value>
      <Value>Norplant Implants</Value>
      <Value>Nortase Capsules</Value>
      <Value>Nova T 200; IUD</Value>
      <Value>Nova T 380; IUD</Value>
      <Value>Novarok 10 mg; Tablets</Value>
      <Value>Novarok 2.5 mg; Tablets</Value>
      <Value>Novarok 5 mg; Tablets</Value>
      <Value>NovoMix</Value>
      <Value>Nuvelle; 28 Coated Tablets</Value>
      <Value>Nystatin Ovula</Value>
      <Value>Radialar 60 %; Solution</Value>
      <Value>Radialar 76 %; Solution</Value>
      <Value>Radiopaque SL without Aroma; Solution</Value>
      <Value>Radiopaque with Aroma; Solution</Value>
      <Value>Radiopaque without Aroma; Solution</Value>
      <Value>Raloxifene; 60 mg; Tablet</Value>
      <Value>Ranitidine; 150 mg; Film-coated tablet</Value>
      <Value>Ranitidine; 300 mg; Film-coated tablet</Value>
      <Value>Rantudil; 30 mg; Tablet</Value>
      <Value>Rantudil; 60 mg; Capsule</Value>
      <Value>Rantudil; 90 mg; Capsule</Value>
      <Value>Rantudil; Active Ingredient</Value>
      <Value>Rayvist 180; Solution</Value>
      <Value>Rayvist 235; Solution</Value>
      <Value>Rayvist 300; Solution</Value>
      <Value>Rayvist 350; Solution</Value>
      <Value>Rayvist 370; Solution</Value>
      <Value>Recofol 1 %; Emulsion</Value>
      <Value>Recofol 2 %; Emulsion</Value>
      <Value>Redul 1000; Solution</Value>
      <Value>Redul 500; Solution</Value>
      <Value>Refludan 20 mg; Powder</Value>
      <Value>Refludan 50 mg; Powder</Value>
      <Value>Remotiv; 250 mg; Tablet</Value>
      <Value>Renocis Powder</Value>
      <Value>Resochin; 250 mg/5 ml; Solution for infusion</Value>
      <Value>Resochin; 250 mg; Film-coated tablet</Value>
      <Value>Resochin; 500 mg; Film-coated tablet</Value>
      <Value>Resochin; 80 mg/5 ml; Oral suspension</Value>
      <Value>Resochin; 81 mg; Film-coated tablet</Value>
      <Value>Resovist Solution</Value>
      <Value>Retacillin Comp 1200000 I.U.; Solution</Value>
      <Value>Retacillin Comp 600000 I.U.; Solution</Value>
      <Value>Rhenium [186Re] sulphide Suspension</Value>
      <Value>Rheuma Cream</Value>
      <Value>Riball 100 mg; Tablets</Value>
      <Value>Riball 200; Powder</Value>
      <Value>Rifampicin; 300 mg; Capsule</Value>
      <Value>Rondo Spray</Value>
      <Value>Rytmonorm 150 mg; Film Tablets</Value>
      <Value>Rytmonorm 300 mg; Film Tablets</Value>
      <Value>Thymanax 25 mg film-coated tablets</Value>
      <Value>Vagizol 500 mg; Tablets</Value>
      <Value>Valeriana Coated Tablets</Value>
      <Value>Valette; 21 Coated Tablets</Value>
      <Value>Valette; 21+7 Coated Tablets</Value>
      <Value>Valette; 28 Coated Tablets</Value>
      <Value>Vancomycin; 1 g; Powder for solution for infusion</Value>
      <Value>Vancomycin; 500 mg; Powder for solution for infusion</Value>
      <Value>Vasculocis Powder</Value>
      <Value>Vasomotal 12 mg; Tablets</Value>
      <Value>Vasomotal 16 mg; Tablets</Value>
      <Value>Vasomotal 4 mg; Tablets</Value>
      <Value>Vasomotal 8 mg; Tablets</Value>
      <Value>Vasovist Solution</Value>
      <Value>Vaspit Cream</Value>
      <Value>Vaspit Fatty Ointment</Value>
      <Value>Vaspit Ointment</Value>
      <Value>Ventavis 10; Solution</Value>
      <Value>Veradol Tablets</Value>
      <Value>Veramon Tablets</Value>
      <Value>Wellnara; 28 Film Tablets</Value>
      <Value>Xapro Cream</Value>
      <Value>Xapro Ovula</Value>
      <Value>Xarelto; 10 mg; Film-coated tablet</Value>
      <Value>Xarelto; 15 mg; Film-coated tablet</Value>
      <Value>Xarelto; 2.5 mg; Film-coated tablet</Value>
      <Value>Xarelto; 20 mg; Film-coated tablet</Value>
      <Value>Xarelto; 5 mg; Film-coated tablet</Value>
      <Value>Xylocitin 2 % mit Epinephrin 0.001 %; Solution</Value>
      <Value>Xylocitin Cor 1 %; Solution</Value>
      <Value>Xylocitin Cor 2 %; Solution</Value>
      <Value>Xylocitin Loc 0.5 %; Solution</Value>
      <Value>Xylocitin Loc 1 %; Solution</Value>
      <Value>Xylocitin Loc 2 %; Solution</Value>
      <Value>Yasmin 30; 21 Film Tablets</Value>
      <Value>Yasmin 30; 21+7 Film Tablets</Value>
      <Value>Yasminelle; 21 Film Tablets</Value>
      <Value>Yasminelle; 21+7 Film Tablets</Value>
      <Value>Yomesan; 500 mg Tablet</Value>
      <Value>Yomesan; 500 mg; Tablet</Value>
      <Value>Ytracis Solution</Value>
      <Value>Yttrium [90Y] Suspension</Value>
    </ValuesList>
    <ValuesList id="vocabid_Generic_name">
      <doctypes>
        <doctype display="INN" name="CCDS"/>
        <doctype display="INN" name="SPC"/>
        <doctype display="International Nonproprietary Name" name="PL"/>
        <doctype display="INN" name="EU Label Master"/>
      </doctypes>
      <Value>(131I)Iobenguane</Value>
      <Value>(99m)Technetium apcitide, (change 2)</Value>
      <Value>- n/a</Value>
      <Value>5-Aminolevulinic acid hydrochloride, (change 1)</Value>
      <Value>5-Isosorbidmononitrate</Value>
      <Value>Abarelix</Value>
      <Value>Abecarnil</Value>
      <Value>Acetylanisol-4</Value>
      <Value>Adipiodone</Value>
      <Value>Aescine</Value>
      <Value>agomelatine</Value>
      <Value>Alemtuzumab</Value>
      <Value>Alfuzosin hydrochloride</Value>
      <Value>Allopurinol</Value>
      <Value>Aluminium sodium silicat</Value>
      <Value>Ambroxol hydrochloride</Value>
      <Value>Amidotrizoic acid</Value>
      <Value>Amidotrizoic acid meglumine</Value>
      <Value>Amidotrizoic acid sodium</Value>
      <Value>Ammoniumferric-(II)-sulfate hexahydrate</Value>
      <Value>Ampicilline</Value>
      <Value>Amylase</Value>
      <Value>Androstanolone</Value>
      <Value>Aprindine hydrochloride</Value>
      <Value>Ascorbic acid</Value>
      <Value>Asparaginase</Value>
      <Value>Atenolol</Value>
      <Value>Aurothioglucose</Value>
      <Value>Azelaic acid</Value>
      <Value>Baclofene</Value>
      <Value>Bariumsulfate</Value>
      <Value>Bassorit</Value>
      <Value>BCG Vaccines</Value>
      <Value>Belladonna extract</Value>
      <Value>Benperidol</Value>
      <Value>Benzathine benzylpenicillin tetrahydrate</Value>
      <Value>Benzoyl peroxide</Value>
      <Value>Benzylpenicillin sodium</Value>
      <Value>Benzylpenicilline potassium</Value>
      <Value>Betahistine dihydrochloride</Value>
      <Value>Betamethasone 17,21-dipropionate</Value>
      <Value>Betamethasone valerate</Value>
      <Value>Bicalutamide</Value>
      <Value>Biperiden hydrochloride</Value>
      <Value>Buflomedil hydrochloride</Value>
      <Value>Bupivacain hydrochloride</Value>
      <Value>Calcipotriol</Value>
      <Value>Calcitriol</Value>
      <Value>Calcium carbonate</Value>
      <Value>Calcium disodium edetate</Value>
      <Value>Calcium folinate</Value>
      <Value>Carmofur</Value>
      <Value>Ceftezol-sodium</Value>
      <Value>Cephakillitall</Value>
      <Value>Chinidinegluconate</Value>
      <Value>Chloramphenicol</Value>
      <Value>Chlormadinone acetate</Value>
      <Value>Chlorophenamin maleate</Value>
      <Value>Chloroquinaldol</Value>
      <Value>Chlorphenaethazine hydrochloride</Value>
      <Value>Choriongonadotropine</Value>
      <Value>Cimetidine</Value>
      <Value>Cinchocaine hydrochloride</Value>
      <Value>Citric acid</Value>
      <Value>Clemizol-penicilline</Value>
      <Value>Clemizole hydrochloride</Value>
      <Value>Clemizole undecylate</Value>
      <Value>Clindamycin dihydrogenphosphate</Value>
      <Value>Clindamycine hydrochloride</Value>
      <Value>Clocortolone capronate</Value>
      <Value>Clocortolone pivalate</Value>
      <Value>Clotrimazol</Value>
      <Value>Coffeine</Value>
      <Value>Colecalciferol</Value>
      <Value>Copper</Value>
      <Value>Cortex frangulae</Value>
      <Value>Cyanocobalamine</Value>
      <Value>Cyclofenil</Value>
      <Value>Cyclophosphamide</Value>
      <Value>Cyproterone acetate</Value>
      <Value>D,L-alpha-Tocopherol</Value>
      <Value>D-Gluconoic acid delta-lactone</Value>
      <Value>D-Pseudoephedrine hydrochloride</Value>
      <Value>Dacarbazine</Value>
      <Value>Dacarbazinecitrate (3:1 complex)</Value>
      <Value>Desogestrel</Value>
      <Value>Desoxycortone acetate</Value>
      <Value>Desoxycortone enantate</Value>
      <Value>Dexamethasone</Value>
      <Value>Dexamethasone 21-disodium phosphate</Value>
      <Value>Dexpanthenol</Value>
      <Value>Dextranomer</Value>
      <Value>Dibekacine sulfate</Value>
      <Value>Diclofenac-sodium</Value>
      <Value>Dienogest</Value>
      <Value>Diflucortolone 21-valerate</Value>
      <Value>Dihydrogesterone</Value>
      <Value>Dilazep dihydrochloride</Value>
      <Value>Diltiazem hydrochloride</Value>
      <Value>Dimercapto succinic acid</Value>
      <Value>Dimethyl polysiloxane (low molecular)</Value>
      <Value>Dimeticone</Value>
      <Value>Disodium clodronate</Value>
      <Value>Disodium edetate</Value>
      <Value>Dithranol</Value>
      <Value>Dobutamine hydrochloride</Value>
      <Value>Doxorubicin HCl</Value>
      <Value>Doxycycline hydrochloride</Value>
      <Value>Doxycycline monohydrate</Value>
      <Value>Drospirenone</Value>
      <Value>EOB-DTPA</Value>
      <Value>Epinephrine</Value>
      <Value>EPL substance (essential phospholipides)</Value>
      <Value>Ergotamine tartrate</Value>
      <Value>Erythromycine</Value>
      <Value>Esmolol hydrochloride</Value>
      <Value>Estradiol</Value>
      <Value>Estradiol benzoate</Value>
      <Value>Estradiol hemihydrate</Value>
      <Value>Estradiol undecylate</Value>
      <Value>Estradiol valerate</Value>
      <Value>Estriol</Value>
      <Value>Ethinylestradiol</Value>
      <Value>Ethinylestradiol-beta-cyclodextrine complex</Value>
      <Value>Ethosux imide</Value>
      <Value>Etidronic acid</Value>
      <Value>Etizolam</Value>
      <Value>Etonogestrel</Value>
      <Value>Extractum vitex agni casti siccum</Value>
      <Value>Fel tauri</Value>
      <Value>Fenticonazol nitrate</Value>
      <Value>Ferric proteine succinilate</Value>
      <Value>Ferucarbotran</Value>
      <Value>Fludarabine phosphate</Value>
      <Value>Fludeoxyglucose[18F]</Value>
      <Value>Fludrocortisone acetate</Value>
      <Value>Fluocortinbutyl</Value>
      <Value>Fluocortolone</Value>
      <Value>Fluocortolone 21-caproate</Value>
      <Value>Fluocortolone pivalate</Value>
      <Value>Flutazolam</Value>
      <Value>Fluvoxamine hydrogenmaleate</Value>
      <Value>Folic acid</Value>
      <Value>Framycetin sulfate</Value>
      <Value>Furosemid</Value>
      <Value>Furosemid sodium</Value>
      <Value>Fusidic acid</Value>
      <Value>g-Strophantine</Value>
      <Value>Gadobutrol</Value>
      <Value>Gadofosveset trisodium</Value>
      <Value>Gadolinium oxide</Value>
      <Value>Gadopentetic acid</Value>
      <Value>Gadopentetic acid dimeglumine</Value>
      <Value>Gadoxetic acid disodium</Value>
      <Value>Galactose</Value>
      <Value>Gestodene</Value>
      <Value>Gestonorone caproate</Value>
      <Value>Glisoxepide</Value>
      <Value>Glutathione</Value>
      <Value>Glycerol trinitrate</Value>
      <Value>Glymidine sodium</Value>
      <Value>Gosereline acetate</Value>
      <Value>Haemagglutinine</Value>
      <Value>Haloprogine</Value>
      <Value>Heparin sodium</Value>
      <Value>Heparine calcium</Value>
      <Value>Hexachlorophene</Value>
      <Value>Hexoprenaline sulfate</Value>
      <Value>Horse chestnut extract</Value>
      <Value>Human albumin</Value>
      <Value>Hyaluronidase</Value>
      <Value>Hydrochloro thiazide</Value>
      <Value>Hydrocortisone</Value>
      <Value>Hydrocortisone acetate</Value>
      <Value>Hydrocortisone caproate</Value>
      <Value>Hydroxyprogesterone caproate</Value>
      <Value>Hyoscine hydrobromide</Value>
      <Value>Hypericine</Value>
      <Value>Ibritumomab tiuxetan</Value>
      <Value>Ibuprofene</Value>
      <Value>Ifosfamide</Value>
      <Value>Iloprost</Value>
      <Value>Imidapril hydrochloride</Value>
      <Value>Imiquimod</Value>
      <Value>Indometacine</Value>
      <Value>Insulin aspart</Value>
      <Value>Interferone beta-1b</Value>
      <Value>Iocetaminic acid</Value>
      <Value>Iod amide</Value>
      <Value>Iodamide sodium</Value>
      <Value>Iodinated [125I]-human albumine</Value>
      <Value>Ioglicinic acid</Value>
      <Value>Ioglycaminic acid</Value>
      <Value>Iohexol</Value>
      <Value>Iopamidol</Value>
      <Value>Iopodinoic acid calcium</Value>
      <Value>Iopodinoic acid sodium</Value>
      <Value>Iopromide</Value>
      <Value>Iosamycin propionate</Value>
      <Value>Iosamycine</Value>
      <Value>Ioseric acid meglumine</Value>
      <Value>Iotrolan</Value>
      <Value>Iotroxinoic acid</Value>
      <Value>Iotroxinoic acid meglumine</Value>
      <Value>Iron (II)-fumarate</Value>
      <Value>Iron oxide</Value>
      <Value>Isoaminil citrate</Value>
      <Value>Isoconazole</Value>
      <Value>Isoconazolnitrate</Value>
      <Value>Isosorbid dinitrate</Value>
      <Value>Isotretinoin</Value>
      <Value>Isoxsuprine hydrochloride</Value>
      <Value>Isoxsuprine polystyrolsulfonate</Value>
      <Value>IU of anti-HBs</Value>
      <Value>L-Adrenaline bitartrate</Value>
      <Value>Lactulose</Value>
      <Value>Laevulinic acid</Value>
      <Value>Lepirudin</Value>
      <Value>Levomepromazine</Value>
      <Value>Levonorgestrel</Value>
      <Value>Lidocaine</Value>
      <Value>Lidocaine hydrochloride</Value>
      <Value>Lipase</Value>
      <Value>Lisuride hydrogenmaleate</Value>
      <Value>Lormetazepam</Value>
      <Value>Magnesium carbonate</Value>
      <Value>Magnesiumhydrogenaspartate</Value>
      <Value>Mebeverine hydrochloride</Value>
      <Value>Mebrofenin</Value>
      <Value>Medronic acid</Value>
      <Value>Medroxyprogesterone acetate</Value>
      <Value>Megestrol acetate</Value>
      <Value>Meglumine</Value>
      <Value>Menthol</Value>
      <Value>Mepindolol sulfate</Value>
      <Value>Mesalazine</Value>
      <Value>Mesterolone</Value>
      <Value>Metenolone acetate</Value>
      <Value>Metenolone enantate</Value>
      <Value>Methylhydroxypropylcellulose</Value>
      <Value>Methylprednisolone</Value>
      <Value>Methylprednisolone aceponate</Value>
      <Value>Methyltestosterone</Value>
      <Value>Metoclopramide hydrochloride</Value>
      <Value>Metoprolol tartrate</Value>
      <Value>Metrizamide</Value>
      <Value>Metronidazol</Value>
      <Value>Miconazol nitrate</Value>
      <Value>Minocycline hydrochloride dihydrate</Value>
      <Value>Minocycline hydrochloride monohydrate</Value>
      <Value>Monoclonal antibody MAb-BW 250/183</Value>
      <Value>N-Acetyl-D-methionine</Value>
      <Value>N-Acetyl-L-cysteine</Value>
      <Value>Naftifine hydrochloride</Value>
      <Value>Naproxene</Value>
      <Value>Nicardipine hydrochloride</Value>
      <Value>Niclosamide</Value>
      <Value>Nicotin amide</Value>
      <Value>Nifedipine</Value>
      <Value>Nifekalant hydrochloride</Value>
      <Value>Nitrendipine</Value>
      <Value>Nomegestrol acetate</Value>
      <Value>Norethisterone</Value>
      <Value>Norethisterone acetate</Value>
      <Value>Norethisterone enantate</Value>
      <Value>Norgestrel</Value>
      <Value>Nystatin</Value>
      <Value>Oxybutynine hydrochloride</Value>
      <Value>Oxytetracycline hydrochloride</Value>
      <Value>Palmitic acid</Value>
      <Value>Pankreatine Typ A</Value>
      <Value>Paracetamol</Value>
      <Value>Pegaspargase</Value>
      <Value>Penicillin G procaine hydrate</Value>
      <Value>Pentetic acid</Value>
      <Value>Perfluorohexane</Value>
      <Value>Pethidine hydrochloride</Value>
      <Value>Phenylephrine hydrochloride</Value>
      <Value>Phenylpropanol</Value>
      <Value>Piroxicam</Value>
      <Value>Prasterone enantate</Value>
      <Value>Prednisolone</Value>
      <Value>Prednisolone acetate</Value>
      <Value>Prednisolone caproate</Value>
      <Value>Prednisolone hydrogensuccinate</Value>
      <Value>Prednisolone sodium phosphate</Value>
      <Value>Procaine hydrochloride</Value>
      <Value>Progesterone</Value>
      <Value>Promestriene</Value>
      <Value>Propafenone</Value>
      <Value>Propofol</Value>
      <Value>Propyphenazone</Value>
      <Value>Pyrazinamide</Value>
      <Value>Pyridoxine hydrochloride</Value>
      <Value>rac-2-(Diphosphonomethyl)butanedioic acid tetrasodium salt</Value>
      <Value>Retinolpalmitate</Value>
      <Value>Riboflavine</Value>
      <Value>Riboflavine phosphate sodium</Value>
      <Value>Rifaximin</Value>
      <Value>Ritodrine hydrochloride</Value>
      <Value>Rutoside</Value>
      <Value>Salbutamol</Value>
      <Value>Salbutamol sulfate</Value>
      <Value>Salcatonin</Value>
      <Value>Salicyl amide</Value>
      <Value>Salicylic acid</Value>
      <Value>Samarium(153Sm) ethylenediaminetetramethylenephosphonic acid</Value>
      <Value>Sargramostim</Value>
      <Value>Satumomab pendetide</Value>
      <Value>Sertaconazole nitrate</Value>
      <Value>Silicon dioxide</Value>
      <Value>Silver</Value>
      <Value>Sodium (T-4)-technetate (99mTcO4)</Value>
      <Value>Sodium chloride</Value>
      <Value>Sodium fluoride</Value>
      <Value>Sodium hydrogencarbonate</Value>
      <Value>Sodium oxidronate</Value>
      <Value>Sodium phytate</Value>
      <Value>Sodium [123I]iodide</Value>
      <Value>Soluble insulin aspart*/protamine-crystallised insulin aspart*</Value>
      <Value>Sorafenib tosylate</Value>
      <Value>Sotalol</Value>
      <Value>Soya bean extract</Value>
      <Value>Spironolactone</Value>
      <Value>Sulpiride</Value>
      <Value>Sulprostone</Value>
      <Value>Sultopride hydrochloride</Value>
      <Value>Tamoxifene citrate</Value>
      <Value>Technetium-99m depreotide</Value>
      <Value>Terbinafine hydrochloride</Value>
      <Value>Terguride</Value>
      <Value>Testosterone</Value>
      <Value>Testosterone enantate</Value>
      <Value>Testosterone propionate</Value>
      <Value>Testosterone undecanoate</Value>
      <Value>Tetrasodium fosfestrol</Value>
      <Value>Tetrasodium pyrophosphate</Value>
      <Value>Thallium chloride [201Tl]</Value>
      <Value>Theophylline hydrate</Value>
      <Value>Triamterene</Value>
      <Value>Tricalciumdicitrate tetrahydrate</Value>
      <Value>Trofosfamide</Value>
      <Value>Tulobuterol</Value>
      <Value>Urea</Value>
      <Value>Valerianae radix</Value>
      <Value>Vincamine oxoglutarate</Value>
      <Value>Vitamin-B1 hydrochloride</Value>
      <Value>Vitamin-B1 nitrate</Value>
      <Value>Vitamin-B6</Value>
      <Value>Vitamin-D2</Value>
      <Value>Vitamin-E</Value>
      <Value>Vitamin-E acetate</Value>
      <Value>Xanthinolnicotinate</Value>
      <Value>Zinc oxide</Value>
      <Value>Zoledronic acid</Value>
      <Value>Zolmitriptan</Value>
      <Value>[131I]Sodium iodide</Value>
      <Value>[169Er]Erbium citrate</Value>
      <Value>[186Re]Rhenium heptasulfide</Value>
      <Value>[90Y]Yttrium citrate</Value>
      <Value>[90Y]Yttrium trichloride</Value>
    </ValuesList>
    <ValuesList display="Package type" id="vocabid_Package">
      <doctypes>
        <doctype display="Package type" name="SPL4"/>
        <doctype display="Package type" name="PLR4"/>
        <doctype display="Package type" name="OTC4"/>
        <doctype display="Package type" name="Bulk4"/>
        <doctype display="Package type" name="Allergenic4"/>
        <doctype display="Package type" name="Allergenic-PLR4"/>
        <doctype display="Package type" name="Vaccine4"/>
        <doctype display="Package type" name="Vaccine-PLR4"/>
        <doctype display="Package type" name="VaccineBulk4"/>
        <doctype display="Package type" name="Blood4"/>
        <doctype display="Package type" name="VetOTC4"/>
        <doctype display="Package type" name="VetOTCA4"/>
        <doctype display="Package type" name="VetOTCB4"/>
        <doctype display="Package type" name="VetOTCC4"/>
        <doctype display="Package type" name="Vet4"/>
        <doctype display="Package type" name="VetA4"/>
        <doctype display="Package type" name="VetB4"/>
        <doctype display="Package type" name="VetC4"/>
        <doctype display="Package type" name="Product Listing"/>
        <doctype display="Package type" name="Product Labeler"/>
        <doctype display="Package type" name="KitDevice4"/>
        <doctype display="Package type" name="KitDevice-PLR4"/>
        <doctype display="Package type" name="Cosmetic4"/>
        <doctype display="Package type" name="MedicalFood4"/>
        <doctype display="Package type" name="DietarySupplement4"/>
        <doctype display="Package type" name="OTC-PLR4"/>
      </doctypes>
      <Value>ampule</Value>
      <Value>applicator</Value>
      <Value>bag</Value>
      <Value>blister pack</Value>
      <Value>bottle</Value>
      <Value>bottle, dispensing</Value>
      <Value>bottle, dropper</Value>
      <Value>bottle, glass</Value>
      <Value>bottle, plastic</Value>
      <Value>bottle, pump</Value>
      <Value>bottle, spray</Value>
      <Value>bottle, unit-dose</Value>
      <Value>bottle, with applicator</Value>
      <Value>box</Value>
      <Value>box, unit-dose</Value>
      <Value>can</Value>
      <Value>canister</Value>
      <Value>capsule</Value>
      <Value>carton</Value>
      <Value>cartridge</Value>
      <Value>case</Value>
      <Value>cello pack</Value>
      <Value>container</Value>
      <Value>container, flexible intermediate bulk</Value>
      <Value>cup</Value>
      <Value>cup, unit-dose</Value>
      <Value>cylinder</Value>
      <Value>dewar</Value>
      <Value>dialpack</Value>
      <Value>dose pack</Value>
      <Value>drum</Value>
      <Value>inhaler</Value>
      <Value>inhaler, refill</Value>
      <Value>jar</Value>
      <Value>jug</Value>
      <Value>kit</Value>
      <Value>package</Value>
      <Value>package, combination</Value>
      <Value>packet</Value>
      <Value>pail</Value>
      <Value>patch</Value>
      <Value>pouch</Value>
      <Value>supersack</Value>
      <Value>syringe</Value>
      <Value>syringe, glass</Value>
      <Value>syringe, plastic</Value>
      <Value>tabminder</Value>
      <Value>tank</Value>
      <Value>tray</Value>
      <Value>tube</Value>
      <Value>tube, with applicator</Value>
      <Value>vial</Value>
      <Value>vial, dispensing</Value>
      <Value>vial, glass</Value>
      <Value>vial, multi-dose</Value>
      <Value>vial, patent delivery system</Value>
      <Value>vial, pharmacy bulk package</Value>
      <Value>vial, piggyback</Value>
      <Value>vial, plastic</Value>
      <Value>vial, single-dose</Value>
      <Value>vial, single-use</Value>
    </ValuesList>
    <ValuesList display="Administration route" id="vocabid_Administration_route">
      <doctypes>
        <doctype display="Administration route" name="SPL4"/>
        <doctype display="Administration route" name="PLR4"/>
        <doctype display="Administration route" name="OTC4"/>
        <doctype display="Administration route" name="Bulk4"/>
        <doctype display="Administration route" name="Allergenic4"/>
        <doctype display="Administration route" name="Allergenic-PLR4"/>
        <doctype display="Administration route" name="Vaccine4"/>
        <doctype display="Administration route" name="Vaccine-PLR4"/>
        <doctype display="Administration route" name="VaccineBulk4"/>
        <doctype display="Administration route" name="Blood4"/>
        <doctype display="Administration route" name="VetOTC4"/>
        <doctype display="Administration route" name="VetOTCA4"/>
        <doctype display="Administration route" name="VetOTCB4"/>
        <doctype display="Administration route" name="VetOTCC4"/>
        <doctype display="Administration route" name="Vet4"/>
        <doctype display="Administration route" name="VetA4"/>
        <doctype display="Administration route" name="VetB4"/>
        <doctype display="Administration route" name="VetC4"/>
        <doctype display="Administration route" name="Product Listing"/>
        <doctype display="Administration route" name="Product Labeler"/>
        <doctype display="Administration route" name="KitDevice4"/>
        <doctype display="Administration route" name="KitDevice-PLR4"/>
        <doctype display="Administration route" name="Cosmetic4"/>
        <doctype display="Administration route" name="MedicalFood4"/>
        <doctype display="Administration route" name="DietarySupplement4"/>
        <doctype display="Administration route" name="OTC-PLR4"/>
      </doctypes>
      <Value>auricular (otic)</Value>
      <Value>buccal</Value>
      <Value>conjunctival</Value>
      <Value>cutaneous</Value>
      <Value>dental</Value>
      <Value>electro-osmosis</Value>
      <Value>endocervical</Value>
      <Value>endosinusial</Value>
      <Value>endotracheal</Value>
      <Value>enteral</Value>
      <Value>epidural</Value>
      <Value>extra-amniotic</Value>
      <Value>extracorporeal</Value>
      <Value>hemodialysis</Value>
      <Value>infiltration</Value>
      <Value>interstitial</Value>
      <Value>intra-abdominal</Value>
      <Value>intra-amniotic</Value>
      <Value>intra-arterial</Value>
      <Value>intra-articular</Value>
      <Value>intrabiliary</Value>
      <Value>intrabronchial</Value>
      <Value>intrabursal</Value>
      <Value>intracardiac</Value>
      <Value>intracartilaginous</Value>
      <Value>intracaudal</Value>
      <Value>intracavernous</Value>
      <Value>intracavitary</Value>
      <Value>intracerebral</Value>
      <Value>intracisternal</Value>
      <Value>intracorneal</Value>
      <Value>intracoronal, dental</Value>
      <Value>intracoronary</Value>
      <Value>intracorporus cavernosum</Value>
      <Value>intradermal</Value>
      <Value>intradiscal</Value>
      <Value>intraductal</Value>
      <Value>intraduodenal</Value>
      <Value>intradural</Value>
      <Value>intraepicardial</Value>
      <Value>intraepidermal</Value>
      <Value>intraesophageal</Value>
      <Value>intragastric</Value>
      <Value>intragingival</Value>
      <Value>intrahepatic</Value>
      <Value>intraileal</Value>
      <Value>intralesional</Value>
      <Value>intralingual</Value>
      <Value>intraluminal</Value>
      <Value>intralymphatic</Value>
      <Value>intramammary</Value>
      <Value>intramedullary</Value>
      <Value>intrameningeal</Value>
      <Value>intramuscular</Value>
      <Value>intranodal</Value>
      <Value>intraocular</Value>
      <Value>intraomentum</Value>
      <Value>intraovarian</Value>
      <Value>intrapericardial</Value>
      <Value>intraperitoneal</Value>
      <Value>intrapleural</Value>
      <Value>intraprostatic</Value>
      <Value>intrapulmonary</Value>
      <Value>intraruminal</Value>
      <Value>intrasinal</Value>
      <Value>intraspinal</Value>
      <Value>intrasynovial</Value>
      <Value>intratendinous</Value>
      <Value>intratesticular</Value>
      <Value>intrathecal</Value>
      <Value>intrathoracic</Value>
      <Value>intratubular</Value>
      <Value>intratumor</Value>
      <Value>intratypanic</Value>
      <Value>intrauterine</Value>
      <Value>intravascular</Value>
      <Value>intravenous</Value>
      <Value>intraventricular</Value>
      <Value>intravesical</Value>
      <Value>intravitreal</Value>
      <Value>iontophoresis</Value>
      <Value>irrigation</Value>
      <Value>laryngeal</Value>
      <Value>nasal</Value>
      <Value>nasogastric</Value>
      <Value>not applicable</Value>
      <Value>occlusive dressing technique</Value>
      <Value>ophthalmic</Value>
      <Value>oral</Value>
      <Value>oropharyngeal</Value>
      <Value>parenteral</Value>
      <Value>percutaneous</Value>
      <Value>periarticular</Value>
      <Value>peridural</Value>
      <Value>perineural</Value>
      <Value>periodontal</Value>
      <Value>rectal</Value>
      <Value>respiratory (inhalation)</Value>
      <Value>retrobulbar</Value>
      <Value>soft tissue</Value>
      <Value>subarachnoid</Value>
      <Value>subconjunctival</Value>
      <Value>subcutaneous</Value>
      <Value>subgingival</Value>
      <Value>sublingual</Value>
      <Value>submucosal</Value>
      <Value>subretinal</Value>
      <Value>topical</Value>
      <Value>transdermal</Value>
      <Value>transendocardial</Value>
      <Value>transmucosal</Value>
      <Value>transplacental</Value>
      <Value>transtracheal</Value>
      <Value>transtympanic</Value>
      <Value>ureteral</Value>
      <Value>urethral</Value>
      <Value>vaginal</Value>
    </ValuesList>
    <ValuesList display="Dosage form" id="vocabid_Dosage_form">
      <doctypes>
        <doctype display="Dosage form" name="SPL4"/>
        <doctype display="Dosage form" name="PLR4"/>
        <doctype display="Dosage form" name="OTC4"/>
        <doctype display="Dosage form" name="Bulk4"/>
        <doctype display="Dosage form" name="Allergenic4"/>
        <doctype display="Dosage form" name="Allergenic-PLR4"/>
        <doctype display="Dosage form" name="Vaccine4"/>
        <doctype display="Dosage form" name="Vaccine-PLR4"/>
        <doctype display="Dosage form" name="VaccineBulk4"/>
        <doctype display="Dosage form" name="Blood4"/>
        <doctype display="Dosage form" name="VetOTC4"/>
        <doctype display="Dosage form" name="VetOTCA4"/>
        <doctype display="Dosage form" name="VetOTCB4"/>
        <doctype display="Dosage form" name="VetOTCC4"/>
        <doctype display="Dosage form" name="Vet4"/>
        <doctype display="Dosage form" name="VetA4"/>
        <doctype display="Dosage form" name="VetB4"/>
        <doctype display="Dosage form" name="VetC4"/>
        <doctype display="Dosage form" name="Product Listing"/>
        <doctype display="Dosage form" name="Product Labeler"/>
        <doctype display="Dosage form" name="KitDevice4"/>
        <doctype display="Dosage form" name="KitDevice-PLR4"/>
        <doctype display="Dosage form" name="Cosmetic4"/>
        <doctype display="Dosage form" name="MedicalFood4"/>
        <doctype display="Dosage form" name="DietarySupplement4"/>
        <doctype display="Dosage form" name="OTC-PLR4"/>
        <doctype display="Dosage form" name="Annex II"/>
        <doctype display="Dosage form" name="Blister"/>
        <doctype display="Dosage form" name="CCDS"/>
        <doctype display="Dosage form" name="EULM"/>
        <doctype display="Dosage form" name="Immediate"/>
        <doctype display="Dosage form" name="Outer"/>
        <doctype display="Dosage form" name="PL"/>
        <doctype display="Dosage form" name="SPC"/>
      </doctypes>
      <Value>aerosol</Value>
      <Value>aerosol, foam</Value>
      <Value>aerosol, metered</Value>
      <Value>aerosol, powder</Value>
      <Value>aerosol, spray</Value>
      <Value>bar, chewable</Value>
      <Value>bead</Value>
      <Value>bead, implant, extended release</Value>
      <Value>block</Value>
      <Value>capsule</Value>
      <Value>capsule, coated</Value>
      <Value>capsule, coated pellets</Value>
      <Value>capsule, coated, extended release</Value>
      <Value>capsule, delayed release</Value>
      <Value>capsule, delayed release pellets</Value>
      <Value>capsule, extended release</Value>
      <Value>capsule, film coated, extended release</Value>
      <Value>capsule, gelatin coated</Value>
      <Value>capsule, liquid filled</Value>
      <Value>cement</Value>
      <Value>cigarette</Value>
      <Value>cloth</Value>
      <Value>concentrate</Value>
      <Value>cone</Value>
      <Value>core, extended release</Value>
      <Value>cream</Value>
      <Value>cream, augmented</Value>
      <Value>crystal</Value>
      <Value>culture</Value>
      <Value>diaphragm</Value>
      <Value>disc</Value>
      <Value>douche</Value>
      <Value>dressing</Value>
      <Value>drug delivery system</Value>
      <Value>elixir</Value>
      <Value>emulsion</Value>
      <Value>enema</Value>
      <Value>extract</Value>
      <Value>fiber, extended release</Value>
      <Value>film</Value>
      <Value>film, extended release</Value>
      <Value>film, soluble</Value>
      <Value>for solution</Value>
      <Value>for solution, extended release</Value>
      <Value>gas</Value>
      <Value>gel</Value>
      <Value>gel, dentifrice</Value>
      <Value>gel, metered</Value>
      <Value>generator</Value>
      <Value>globule</Value>
      <Value>graft</Value>
      <Value>granule</Value>
      <Value>granule, delayed release</Value>
      <Value>granule, effervescent</Value>
      <Value>granule, for solution</Value>
      <Value>granule, for suspension</Value>
      <Value>granule, for suspension, extended release</Value>
      <Value>gum</Value>
      <Value>gum, chewing</Value>
      <Value>gum, resin</Value>
      <Value>implant</Value>
      <Value>inhalant</Value>
      <Value>injectable foam</Value>
      <Value>injectable, liposomal</Value>
      <Value>injection</Value>
      <Value>injection, emulsion</Value>
      <Value>injection, lipid complex</Value>
      <Value>injection, powder, for solution</Value>
      <Value>injection, powder, for suspension</Value>
      <Value>injection, powder, for suspension, extended release</Value>
      <Value>injection, powder, lyophilized, for liposomal suspension</Value>
      <Value>injection, powder, lyophilized, for solution</Value>
      <Value>injection, powder, lyophilized, for suspension</Value>
      <Value>injection, powder, lyophilized, for suspension, extended release</Value>
      <Value>injection, solution</Value>
      <Value>injection, solution, concentrate</Value>
      <Value>injection, suspension</Value>
      <Value>injection, suspension, extened release</Value>
      <Value>injection, suspension, lipsomal</Value>
      <Value>injection, suspension, sonicated</Value>
      <Value>insert</Value>
      <Value>insert, extended release</Value>
      <Value>intrauterine device</Value>
      <Value>irrigant</Value>
      <Value>jelly</Value>
      <Value>kit</Value>
      <Value>liner, dental</Value>
      <Value>liniment</Value>
      <Value>lipstick</Value>
      <Value>liquid</Value>
      <Value>liquid, extended release</Value>
      <Value>lotion</Value>
      <Value>lotion, augmented</Value>
      <Value>lotion/shampoo</Value>
      <Value>lozenge</Value>
      <Value>mouthwash</Value>
      <Value>oil</Value>
      <Value>ointment</Value>
      <Value>ointment, augmented</Value>
      <Value>packing</Value>
      <Value>paste</Value>
      <Value>paste, dentifrice</Value>
      <Value>pastille</Value>
      <Value>patch</Value>
      <Value>patch, extended release</Value>
      <Value>patch, extended release, electrically controlled</Value>
      <Value>pellet</Value>
      <Value>pellet, implantable</Value>
      <Value>pellets, coated, extended release</Value>
      <Value>pill</Value>
      <Value>plaster</Value>
      <Value>poultice</Value>
      <Value>powder</Value>
      <Value>powder, dentifrice</Value>
      <Value>powder, for solution</Value>
      <Value>powder, for suspension</Value>
      <Value>powder, metered</Value>
      <Value>ring</Value>
      <Value>rinse</Value>
      <Value>salve</Value>
      <Value>shampoo</Value>
      <Value>shampoo, suspension</Value>
      <Value>soap</Value>
      <Value>solution</Value>
      <Value>solution, concentrate</Value>
      <Value>solution, for slush</Value>
      <Value>solution, gel forming / drops</Value>
      <Value>solution, gel forming, extended release</Value>
      <Value>solution/ drops</Value>
      <Value>sponge</Value>
      <Value>spray</Value>
      <Value>spray, metered</Value>
      <Value>spray, suspension</Value>
      <Value>stick</Value>
      <Value>strip</Value>
      <Value>suppository</Value>
      <Value>suppository, extended release</Value>
      <Value>suspension</Value>
      <Value>suspension, extended release</Value>
      <Value>suspension/ drops</Value>
      <Value>suture</Value>
      <Value>swab</Value>
      <Value>syrup</Value>
      <Value>tablet</Value>
      <Value>tablet, chewable</Value>
      <Value>tablet, coated</Value>
      <Value>tablet, coated particles</Value>
      <Value>tablet, delayed release</Value>
      <Value>tablet, delayed release particles</Value>
      <Value>tablet, effervescent</Value>
      <Value>tablet, extended release</Value>
      <Value>tablet, film coated</Value>
      <Value>tablet, film coated, extended release</Value>
      <Value>tablet, for solution</Value>
      <Value>tablet, for suspension</Value>
      <Value>tablet, multilayer</Value>
      <Value>tablet, multilayer, extended release</Value>
      <Value>tablet, orally disintegrating</Value>
      <Value>tablet, orally disintegrating, delayed release</Value>
      <Value>tablet, soluble</Value>
      <Value>tablet, sugar coated</Value>
      <Value>tampon</Value>
      <Value>tape</Value>
      <Value>tincture</Value>
      <Value>troche</Value>
      <Value>unassigned</Value>
      <Value>wafer</Value>
    </ValuesList>
    <ValuesList id="vocabid_Grain">
      <doctypes>
        <doctype display="Grain" name="Article"/>
      </doctypes>
      <Value>barley </Value>
      <Value>barley, bran </Value>
      <Value>barley, cereal </Value>
      <Value>barley, flour </Value>
      <Value>barley, grain </Value>
      <Value>barley, pearled barley </Value>
      <Value>buckwheat </Value>
      <Value>buckwheat, flour </Value>
      <Value>buckwheat, fodder </Value>
      <Value>buckwheat, forage </Value>
      <Value>buckwheat, grain </Value>
      <Value>cereal, cooked </Value>
      <Value>cereal, flour </Value>
      <Value>cereal, flour and related products </Value>
      <Value>corn </Value>
      <Value>corn, cereal </Value>
      <Value>corn, field </Value>
      <Value>corn, field, aspirated grain fractions </Value>
      <Value>corn, field, dry milling </Value>
      <Value>corn, field, flour </Value>
      <Value>corn, field, grain </Value>
      <Value>corn, field, grits </Value>
      <Value>corn, field, meal </Value>
      <Value>corn, field, milled byproducts </Value>
      <Value>corn, field, refined oil </Value>
      <Value>corn, field, soapstock </Value>
      <Value>corn, field, starch </Value>
      <Value>corn, field, wet milling </Value>
      <Value>corn, pod, grain </Value>
      <Value>corn, pop </Value>
      <Value>corn, pop, grain </Value>
      <Value>corn, sweet </Value>
      <Value>corn, sweet, kernel plus cob with husks removed </Value>
      <Value>grain, aspirated grain fractions </Value>
      <Value>grain, cereal </Value>
      <Value>grain, crops </Value>
      <Value>grain, crops, except corn, fresh and rice, grain </Value>
      <Value>grain, crops, except wheat </Value>
      <Value>grain, forage and stover </Value>
      <Value>macaroni products </Value>
      <Value>millet </Value>
      <Value>millet, flour </Value>
      <Value>millet, grain </Value>
      <Value>millet, pearl </Value>
      <Value>millet, pearl, grain </Value>
      <Value>millet, proso </Value>
      <Value>millet, proso, flour </Value>
      <Value>millet, proso, grain </Value>
      <Value>noodle products </Value>
      <Value>oat </Value>
      <Value>oat and barley animal feed mixture, 97% oats, 3% barley </Value>
      <Value>oat, bran </Value>
      <Value>oat, cereal </Value>
      <Value>oat, flour </Value>
      <Value>oat, grain </Value>
      <Value>oat, groats/rolled oats </Value>
      <Value>rice </Value>
      <Value>rice, bran </Value>
      <Value>rice, cereal </Value>
      <Value>rice, cracked </Value>
      <Value>rice, cracked, malted beverage </Value>
      <Value>rice, flour </Value>
      <Value>rice, grain </Value>
      <Value>rice, hulls </Value>
      <Value>rice, polished rice </Value>
      <Value>rice, wild </Value>
      <Value>rice, wild, grain </Value>
      <Value>rye </Value>
      <Value>rye, bran </Value>
      <Value>rye, cereal </Value>
      <Value>rye, flour </Value>
      <Value>rye, grain </Value>
      <Value>sorghum, grain </Value>
      <Value>sorghum, grain, aspirated grain fractions </Value>
      <Value>sorghum, grain, brain </Value>
      <Value>sorghum, grain, flour </Value>
      <Value>sorghum, grain, grain </Value>
      <Value>sorghum, milled fractions, except flour </Value>
      <Value>teosinte </Value>
      <Value>teosinte, grain </Value>
      <Value>triticale </Value>
      <Value>triticale, grain </Value>
      <Value>wheat </Value>
      <Value>wheat, aspirated grain fractions </Value>
      <Value>wheat, bran </Value>
      <Value>wheat, cereal </Value>
      <Value>wheat, flour </Value>
      <Value>wheat, germ </Value>
      <Value>wheat, gluten, postharvest in australia </Value>
      <Value>wheat, grain </Value>
      <Value>wheat, middlings </Value>
      <Value>wheat, milled byproducts </Value>
      <Value>wheat, shorts </Value>
      <Value>wheat, vavilovi </Value>
      <Value>wheat, vavilovi, grain </Value>
      <Value>wheat, wild einkorn </Value>
      <Value>wheat, wild einkorn, grain </Value>
      <Value>wheat, wild emmer </Value>
      <Value>wheat, wild emmer, grain</Value>
    </ValuesList>
    <ValuesList id="vocabid_Berry">
      <doctypes>
        <doctype display="Berry" name="Article"/>
      </doctypes>
      <Value>blackberry </Value>
      <Value>blueberry </Value>
      <Value>caneberry </Value>
      <Value>currant </Value>
      <Value>elderberry </Value>
      <Value>gooseberry </Value>
      <Value>huckleberry </Value>
      <Value>loganberry </Value>
      <Value>raspberry</Value>
    </ValuesList>
    <ValuesList id="vocabid_Grass">
      <doctypes>
        <doctype display="Grass, Forage, Fodder, Hay" name="Article"/>
      </doctypes>
      <Value>alkali sacaton </Value>
      <Value>alkali sacaton, forage </Value>
      <Value>alkali sacaton, hay </Value>
      <Value>alkaligrass </Value>
      <Value>alkaligrass, forage </Value>
      <Value>alkaligrass, hay </Value>
      <Value>arizona cottontop </Value>
      <Value>arizona cottontop, forage </Value>
      <Value>arizona cottontop, hay </Value>
      <Value>bahiagrass </Value>
      <Value>bahiagrass, forage </Value>
      <Value>bahiagrass, hay </Value>
      <Value>bahiagress, hay </Value>
      <Value>beachgrass </Value>
      <Value>beachgrass, forage </Value>
      <Value>beachgrass, hay </Value>
      <Value>bentgrass </Value>
      <Value>bentgrass, forage </Value>
      <Value>bentgrass, hay </Value>
      <Value>bentgrass, spike </Value>
      <Value>bentgrass, spike, forage </Value>
      <Value>bentgrass, spike, hay </Value>
      <Value>bermudagrass </Value>
      <Value>bermudagrass, forage </Value>
      <Value>bermudagrass, hay </Value>
      <Value>bermudagrass, silage </Value>
      <Value>blowoutgrass </Value>
      <Value>blowoutgrass, forage </Value>
      <Value>blowoutgrass, hay </Value>
      <Value>bluegrass </Value>
      <Value>bluegrass, forage </Value>
      <Value>bluegrass, hay </Value>
      <Value>bluegrass, silky </Value>
      <Value>bluegrass, silky, forage </Value>
      <Value>bluegrass, silky, hay </Value>
      <Value>bluestem, australian </Value>
      <Value>bluestem, australian, forage </Value>
      <Value>bluestem, australian, hay </Value>
      <Value>bluestem, big </Value>
      <Value>bluestem, big, forage </Value>
      <Value>bluestem, big, hay </Value>
      <Value>bluestem, caucasian </Value>
      <Value>bluestem, caucasian, forage </Value>
      <Value>bluestem, caucasian, hay </Value>
      <Value>bluestem, diaz </Value>
      <Value>bluestem, diaz, forage </Value>
      <Value>bluestem, diaz, hay </Value>
      <Value>bluestem, little </Value>
      <Value>bluestem, little, forage </Value>
      <Value>bluestem, little, hay </Value>
      <Value>bluestem, sand </Value>
      <Value>bluestem, sand, forage </Value>
      <Value>bluestem, sand, hay </Value>
      <Value>bluestem, silver </Value>
      <Value>bluestem, silver, forage </Value>
      <Value>bluestem, silver, hay </Value>
      <Value>bluestem, south african </Value>
      <Value>bluestem, south african, forage </Value>
      <Value>bluestem, south african, hay </Value>
      <Value>bluestem, yellow </Value>
      <Value>bluestem, yellow, forage </Value>
      <Value>bluestem, yellow, hay </Value>
      <Value>bristlegrass, plains </Value>
      <Value>bristlegrass, plains, forage </Value>
      <Value>bristlegrass, plains, hay </Value>
      <Value>bromegrass </Value>
      <Value>bromegrass, forage </Value>
      <Value>bromegrass, hay </Value>
      <Value>bromegrass, silage </Value>
      <Value>broomsedge </Value>
      <Value>broomsedge, forage </Value>
      <Value>broomsedge, hay </Value>
      <Value>buffalograss </Value>
      <Value>buffalograss, forage </Value>
      <Value>buffalograss, hay </Value>
      <Value>buffelgrass </Value>
      <Value>buffelgrass, forage </Value>
      <Value>buffelgrass, hay </Value>
      <Value>canarygrass, annual </Value>
      <Value>canarygrass, annual, forage </Value>
      <Value>canarygrass, annual, hay </Value>
      <Value>canarygrass, annual, seed </Value>
      <Value>canarygrass, reed </Value>
      <Value>canarygrass, reed, forage </Value>
      <Value>canarygrass, reed, hay </Value>
      <Value>canarygrass, reed, silage </Value>
      <Value>caribgrass </Value>
      <Value>caribgrass, forage </Value>
      <Value>caribgrass, hay </Value>
      <Value>carpetgrass </Value>
      <Value>carpetgrass, broadleaf </Value>
      <Value>carpetgrass, broadleaf, forage </Value>
      <Value>carpetgrass, broadleaf, hay </Value>
      <Value>carpetgrass, forage </Value>
      <Value>carpetgrass, hay </Value>
      <Value>centipedegrass </Value>
      <Value>centipedegrass, forage </Value>
      <Value>centipedegrass, hay </Value>
      <Value>cordgrass, marshhay </Value>
      <Value>cordgrass, marshhay, forage </Value>
      <Value>cordgrass, marshhay, hay </Value>
      <Value>crabgrass </Value>
      <Value>crabgrass, forage </Value>
      <Value>crabgrass, hay </Value>
      <Value>curly mesquite </Value>
      <Value>curly mesquite, forage </Value>
      <Value>curly mesquite, hay </Value>
      <Value>dallisgrass </Value>
      <Value>dallisgrass, forage </Value>
      <Value>dallisgrass, hay </Value>
      <Value>dropseed, pine </Value>
      <Value>dropseed, pine, forage </Value>
      <Value>dropseed, pine, hay </Value>
      <Value>dropseed, sand </Value>
      <Value>dropseed, sand, forage </Value>
      <Value>dropseed, sand, hay </Value>
      <Value>dropseed, tall </Value>
      <Value>dropseed, tall, forage </Value>
      <Value>dropseed, tall, hay </Value>
      <Value>fescue </Value>
      <Value>fescue, forage </Value>
      <Value>fescue, hay </Value>
      <Value>fingergrass, feather </Value>
      <Value>fingergrass, feather, forage </Value>
      <Value>fingergrass, feather, hay </Value>
      <Value>foxtail, creeping </Value>
      <Value>foxtail, creeping, forage </Value>
      <Value>foxtail, creeping, hay </Value>
      <Value>foxtail, meadow </Value>
      <Value>foxtail, meadow, forage </Value>
      <Value>foxtail, meadow, hay </Value>
      <Value>gamagrass, eastern </Value>
      <Value>gamagrass, eastern, forage </Value>
      <Value>gamagrass, eastern, hay </Value>
      <Value>grass </Value>
      <Value>grass, forage </Value>
      <Value>grass, galleta </Value>
      <Value>grass, galleta, forage </Value>
      <Value>grass, galleta, hay </Value>
      <Value>grass, grama </Value>
      <Value>grass, grama, forage </Value>
      <Value>grass, grama, hay </Value>
      <Value>grass, hay </Value>
      <Value>grass, muhly </Value>
      <Value>grass, muhly, forage </Value>
      <Value>grass, muhly, hay </Value>
      <Value>grass, pasture </Value>
      <Value>grass, pasture, forage </Value>
      <Value>grass, pasture, hay </Value>
      <Value>grass, pasture, seed screenings </Value>
      <Value>grass, pasture, silage </Value>
      <Value>grass, pasture, straw </Value>
      <Value>grass, rangeland </Value>
      <Value>grass, rangeland, forage </Value>
      <Value>grass, rangeland, hay </Value>
      <Value>grass, rangeland, seed screenings </Value>
      <Value>grass, rangeland, silage </Value>
      <Value>grass, rangeland, straw </Value>
      <Value>grass, seed screenings </Value>
      <Value>grass, seed, straw </Value>
      <Value>grass, silage </Value>
      <Value>grass, st. augustine </Value>
      <Value>grass, st. augustine, forage </Value>
      <Value>grass, st. augustine, hay </Value>
      <Value>grass, straw </Value>
      <Value>grass, wildrye </Value>
      <Value>grass, wildrye, forage </Value>
      <Value>grass, wildrye, hay </Value>
      <Value>grass, zoysia </Value>
      <Value>grass, zoysia, forage </Value>
      <Value>grass, zoysia, hay </Value>
      <Value>hairgrass, tufted </Value>
      <Value>hairgrass, tufted, forage </Value>
      <Value>hairgrass, tufted, hay </Value>
      <Value>hardinggrass </Value>
      <Value>hardinggrass, forage </Value>
      <Value>hardinggrass, hay </Value>
      <Value>indiangrass </Value>
      <Value>indiangrass, forage </Value>
      <Value>indiangrass, hay </Value>
      <Value>junegrass </Value>
      <Value>junegrass, forage </Value>
      <Value>junegrass, hay </Value>
      <Value>limpograss </Value>
      <Value>limpograss, forage </Value>
      <Value>limpograss, hay </Value>
      <Value>lovegrass </Value>
      <Value>lovegrass, forage </Value>
      <Value>lovegrass, hay </Value>
      <Value>maidencane </Value>
      <Value>maidencane, forage </Value>
      <Value>maidencane, hay </Value>
      <Value>mannagrass </Value>
      <Value>mannagrass, forage </Value>
      <Value>mannagrass, hay </Value>
      <Value>millet, foxtail </Value>
      <Value>millet, foxtail, forage </Value>
      <Value>millet, foxtail, hay </Value>
      <Value>millet, japanese </Value>
      <Value>millet, japanese, forage </Value>
      <Value>millet, japanese, hay </Value>
      <Value>molassesgrass </Value>
      <Value>molassesgrass, forage </Value>
      <Value>molassesgrass, hay </Value>
      <Value>napiergrass </Value>
      <Value>napiergrass, forage </Value>
      <Value>napiergrass, hay </Value>
      <Value>needlegrass </Value>
      <Value>needlegrass, forage </Value>
      <Value>needlegrass, hay </Value>
      <Value>oat, sand </Value>
      <Value>oat, sand, forage </Value>
      <Value>oat, sand, hay </Value>
      <Value>oat, slender </Value>
      <Value>oat, slender, forage </Value>
      <Value>oat, slender, hay </Value>
      <Value>oat, wild </Value>
      <Value>oat, wild, forage </Value>
      <Value>oat, wild, hay </Value>
      <Value>oatgrass </Value>
      <Value>oatgrass, forage </Value>
      <Value>oatgrass, hay </Value>
      <Value>oatgrass, tall </Value>
      <Value>oatgrass, tall, forage </Value>
      <Value>oatgrass, tall, hay </Value>
      <Value>oniongrass </Value>
      <Value>oniongrass, forage </Value>
      <Value>oniongrass, hay </Value>
      <Value>orchardgrass </Value>
      <Value>orchardgrass, forage </Value>
      <Value>orchardgrass, hay </Value>
      <Value>orchardgrass, silage </Value>
      <Value>pangolagrass </Value>
      <Value>pangolagrass, forage </Value>
      <Value>pangolagrass, hay </Value>
      <Value>panicgrass </Value>
      <Value>panicgrass, forage </Value>
      <Value>panicgrass, hay </Value>
      <Value>paspalum </Value>
      <Value>paspalum, forage </Value>
      <Value>paspalum, hay </Value>
      <Value>polargrass </Value>
      <Value>polargrass, forage </Value>
      <Value>polargrass, hay </Value>
      <Value>quackgrass </Value>
      <Value>quackgrass, forage </Value>
      <Value>quackgrass, hay </Value>
      <Value>redtop </Value>
      <Value>redtop, forage </Value>
      <Value>redtop, hay </Value>
      <Value>reedgrass </Value>
      <Value>reedgrass, forage </Value>
      <Value>reedgrass, hay </Value>
      <Value>rhodesgrass </Value>
      <Value>rhodesgrass, forage </Value>
      <Value>rhodesgrass, hay </Value>
      <Value>rhodesgrass, multiflower false </Value>
      <Value>rhodesgrass, multiflower false, forage </Value>
      <Value>rhodesgrass, multiflower false, hay </Value>
      <Value>ricegrass, indian </Value>
      <Value>ricegrass, indian, forage </Value>
      <Value>ricegrass, indian, hay </Value>
      <Value>ryegrass, forage </Value>
      <Value>ryegrass, hay </Value>
      <Value>ryegrass, italian </Value>
      <Value>ryegrass, italian, forage </Value>
      <Value>ryegrass, italian, hay </Value>
      <Value>ryegrass, perennial </Value>
      <Value>ryegrass, perennial, forage </Value>
      <Value>ryegrass, perennial, hay </Value>
      <Value>sandreed, prairie </Value>
      <Value>sandreed, prairie, forage </Value>
      <Value>sandreed, prairie, hay </Value>
      <Value>sixweeks threeawn </Value>
      <Value>sixweeks threeawn, forage </Value>
      <Value>sixweeks threeawn, hay </Value>
      <Value>sloughgrass </Value>
      <Value>sloughgrass, forage </Value>
      <Value>sloughgrass, hay </Value>
      <Value>smilograss </Value>
      <Value>smilograss, forage </Value>
      <Value>smilograss, hay </Value>
      <Value>sorghum, forage </Value>
      <Value>sorghum, grain, stover </Value>
      <Value>spikeoat </Value>
      <Value>spikeoat, forage </Value>
      <Value>spikeoat, hay </Value>
      <Value>sprangletop, green </Value>
      <Value>sprangletop, green, forage </Value>
      <Value>sprangletop, green, hay </Value>
      <Value>squirreltail </Value>
      <Value>squirreltail, forage </Value>
      <Value>squirreltail, hay </Value>
      <Value>sudangrass </Value>
      <Value>sudangrass, forage </Value>
      <Value>sudangrass, hay </Value>
      <Value>sunolgrass </Value>
      <Value>sunolgrass, forage </Value>
      <Value>sunolgrass, hay </Value>
      <Value>tanglehead </Value>
      <Value>tanglehead, forage </Value>
      <Value>tanglehead, hay </Value>
      <Value>timothy </Value>
      <Value>timothy, alpine </Value>
      <Value>timothy, alpine, forage </Value>
      <Value>timothy, alpine, hay </Value>
      <Value>timothy, forage </Value>
      <Value>timothy, hay </Value>
      <Value>timothy, seed </Value>
      <Value>timothy, silage </Value>
      <Value>trisetum, spike </Value>
      <Value>trisetum, spike, forage </Value>
      <Value>trisetum, spike, hay </Value>
      <Value>vaseygrass </Value>
      <Value>vaseygrass, forage </Value>
      <Value>vaseygrass, hay </Value>
      <Value>veldtgrass, perennial </Value>
      <Value>veldtgrass, perennial, forage </Value>
      <Value>veldtgrass, perennial, hay </Value>
      <Value>velvetgrass </Value>
      <Value>velvetgrass, forage </Value>
      <Value>velvetgrass, hay </Value>
      <Value>wheatgrass </Value>
      <Value>wheatgrass, bluebunch </Value>
      <Value>wheatgrass, bluebunch, forage </Value>
      <Value>wheatgrass, bluebunch, hay </Value>
      <Value>wheatgrass, crested </Value>
      <Value>wheatgrass, crested, forage </Value>
      <Value>wheatgrass, crested, hay </Value>
      <Value>wheatgrass, fairway </Value>
      <Value>wheatgrass, fairway, forage </Value>
      <Value>wheatgrass, fairway, hay </Value>
      <Value>wheatgrass, forage </Value>
      <Value>wheatgrass, hay </Value>
      <Value>wheatgrass, intermediate </Value>
      <Value>wheatgrass, intermediate, forage </Value>
      <Value>wheatgrass, intermediate, hay </Value>
      <Value>wheatgrass, pubescent </Value>
      <Value>wheatgrass, pubescent, forage </Value>
      <Value>wheatgrass, pubescent, hay </Value>
      <Value>wheatgrass, siberian </Value>
      <Value>wheatgrass, siberian, forage </Value>
      <Value>wheatgrass, siberian, hay </Value>
      <Value>wheatgrass, slender </Value>
      <Value>wheatgrass, slender, forage </Value>
      <Value>wheatgrass, slender, hay </Value>
      <Value>wheatgrass, streambank </Value>
      <Value>wheatgrass, streambank, forage </Value>
      <Value>wheatgrass, streambank, hay </Value>
      <Value>wheatgrass, tall </Value>
      <Value>wheatgrass, tall, forage </Value>
      <Value>wheatgrass, tall, hay </Value>
      <Value>wheatgrass, thickspike </Value>
      <Value>wheatgrass, thickspike, forage </Value>
      <Value>wheatgrass, thickspike, hay </Value>
      <Value>wheatgrass, western </Value>
      <Value>wheatgrass, western, forage </Value>
      <Value>wheatgrass, western, hay </Value>
      <Value>windmillgrass, hooded </Value>
      <Value>windmillgrass, hooded, forage </Value>
      <Value>windmillgrass, hooded, hay</Value>
    </ValuesList>
  </ValuesListSet>
</key:KeywordsVocabularies>
</file>

<file path=customXml/item8.xml><?xml version="1.0" encoding="utf-8"?>
<FormUrls xmlns="http://schemas.microsoft.com/sharepoint/v3/contenttype/forms/url">
  <MobileDisplay>_layouts/15/NintexForms/Mobile/DispForm.aspx</MobileDisplay>
  <MobileEdit>_layouts/15/NintexForms/Mobile/EditForm.aspx</MobileEdit>
  <MobileNew>_layouts/15/NintexForms/Mobile/NewForm.aspx</MobileNew>
</FormUrls>
</file>

<file path=customXml/item9.xml><?xml version="1.0" encoding="utf-8"?>
<x4o:metamap xmlns:x4o="http://www.i4i.com/ns/x4o/metamap">
  <prop destId="i4i:sample_property" destSep=";" destination="cwp" event="save" source="property" sourceId="sample_property" sourceSep=";"/>
  <prop destId="i4i:sample_property_element" destSep=";" destination="cwp" event="save" source="document" sourceId="co:sample_element" sourceSep=";"/>
  <prop destId="i4i:sample_property_fixed_text" destSep=";" destination="cwp" event="save" location="https://username:password@request_URL/path/param?" source="document" sourceId="st:sample_fixed_text" sourceSep=";" webservice="hr"/>
  <prop location="SampleReferenceData.xml" sourceId="control_type" sourceSep=";" taxonomy="true" vocabulary="sample_vocabulary"/>
  <prop destId="i4i:sample_property2" destSep=";" destination="cwp" event="save" source="cxp:http://www.i4i.com/ns/x4o/property/syncing/control" sourceId="sample_property2" sourceSep=";"/>
  <prop destId="property3" destSep=";" destination="properties_dialog" event="open" source="cwp" sourceId="i4i:property3" sourceSep=";"/>
</x4o:metamap>
</file>

<file path=customXml/itemProps1.xml><?xml version="1.0" encoding="utf-8"?>
<ds:datastoreItem xmlns:ds="http://schemas.openxmlformats.org/officeDocument/2006/customXml" ds:itemID="{95F8F402-2CAC-425A-99C8-8B2AEC0455F6}">
  <ds:schemaRefs>
    <ds:schemaRef ds:uri="http://schemas.microsoft.com/office/2006/metadata/contentType"/>
    <ds:schemaRef ds:uri="http://schemas.microsoft.com/office/2006/metadata/properties/metaAttributes"/>
    <ds:schemaRef ds:uri="http://schemas.microsoft.com/sharepoint/v3"/>
    <ds:schemaRef ds:uri="8f50927b-c1aa-46a1-a2e1-538f37d56fc0"/>
    <ds:schemaRef ds:uri="c8f7ef64-a337-4380-87e0-326e9f843981"/>
    <ds:schemaRef ds:uri="http://schemas.microsoft.com/office/2006/metadata/properties"/>
    <ds:schemaRef ds:uri="http://www.w3.org/2001/XMLSchem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A98D232B-6AD6-4E27-A300-70BFC1E280AF}">
  <ds:schemaRefs>
    <ds:schemaRef ds:uri="http://schemas.microsoft.com/office/2006/metadata/properties"/>
    <ds:schemaRef ds:uri="http://schemas.microsoft.com/office/infopath/2007/PartnerControls"/>
    <ds:schemaRef ds:uri="8f50927b-c1aa-46a1-a2e1-538f37d56fc0"/>
    <ds:schemaRef ds:uri="c8f7ef64-a337-4380-87e0-326e9f843981"/>
    <ds:schemaRef ds:uri="http://schemas.microsoft.com/sharepoint/v3"/>
  </ds:schemaRefs>
</ds:datastoreItem>
</file>

<file path=customXml/itemProps11.xml><?xml version="1.0" encoding="utf-8"?>
<ds:datastoreItem xmlns:ds="http://schemas.openxmlformats.org/officeDocument/2006/customXml" ds:itemID="{53506C8A-5B0E-42AA-9081-5D2A92FB62B4}">
  <ds:schemaRefs>
    <ds:schemaRef ds:uri="http://www.i4i.com/ns/x4o/attribute-values"/>
  </ds:schemaRefs>
</ds:datastoreItem>
</file>

<file path=customXml/itemProps2.xml><?xml version="1.0" encoding="utf-8"?>
<ds:datastoreItem xmlns:ds="http://schemas.openxmlformats.org/officeDocument/2006/customXml" ds:itemID="{C6BF174A-ACE9-4AD7-9402-032E735DEDBF}">
  <ds:schemaRefs>
    <ds:schemaRef ds:uri="http://www.i4i.com/ns/x4o/keywords"/>
  </ds:schemaRefs>
</ds:datastoreItem>
</file>

<file path=customXml/itemProps3.xml><?xml version="1.0" encoding="utf-8"?>
<ds:datastoreItem xmlns:ds="http://schemas.openxmlformats.org/officeDocument/2006/customXml" ds:itemID="{56014165-932F-4D23-A63F-A067C28E6253}">
  <ds:schemaRefs>
    <ds:schemaRef ds:uri="http://www.w3.org/1999/xhtml"/>
    <ds:schemaRef ds:uri="http://www.i4i.com/ns/x4o/property/syncing"/>
    <ds:schemaRef ds:uri="http://www.w3.org/1999/XSL/Transform"/>
  </ds:schemaRefs>
</ds:datastoreItem>
</file>

<file path=customXml/itemProps4.xml><?xml version="1.0" encoding="utf-8"?>
<ds:datastoreItem xmlns:ds="http://schemas.openxmlformats.org/officeDocument/2006/customXml" ds:itemID="{16BECD71-020A-4BAF-A784-D84E3BD261EE}">
  <ds:schemaRefs>
    <ds:schemaRef ds:uri="http://www.i4i.com/ns/x4o/options"/>
  </ds:schemaRefs>
</ds:datastoreItem>
</file>

<file path=customXml/itemProps5.xml><?xml version="1.0" encoding="utf-8"?>
<ds:datastoreItem xmlns:ds="http://schemas.openxmlformats.org/officeDocument/2006/customXml" ds:itemID="{3C9F9437-BB52-4218-9C94-1D901F56217B}">
  <ds:schemaRefs>
    <ds:schemaRef ds:uri="http://www.i4i.com/ns/x4o/config"/>
  </ds:schemaRefs>
</ds:datastoreItem>
</file>

<file path=customXml/itemProps6.xml><?xml version="1.0" encoding="utf-8"?>
<ds:datastoreItem xmlns:ds="http://schemas.openxmlformats.org/officeDocument/2006/customXml" ds:itemID="{0F5F3919-0C5F-4838-B9AD-1C66D7521B76}">
  <ds:schemaRefs/>
</ds:datastoreItem>
</file>

<file path=customXml/itemProps7.xml><?xml version="1.0" encoding="utf-8"?>
<ds:datastoreItem xmlns:ds="http://schemas.openxmlformats.org/officeDocument/2006/customXml" ds:itemID="{E88E5896-72CD-4318-8E44-3670DC57EFA7}">
  <ds:schemaRefs>
    <ds:schemaRef ds:uri="http://www.i4i.com/ns/x4w/keywords"/>
  </ds:schemaRefs>
</ds:datastoreItem>
</file>

<file path=customXml/itemProps8.xml><?xml version="1.0" encoding="utf-8"?>
<ds:datastoreItem xmlns:ds="http://schemas.openxmlformats.org/officeDocument/2006/customXml" ds:itemID="{B654A2E5-3AD8-4B3C-BB09-72551919E5B9}">
  <ds:schemaRefs>
    <ds:schemaRef ds:uri="http://schemas.microsoft.com/sharepoint/v3/contenttype/forms/url"/>
  </ds:schemaRefs>
</ds:datastoreItem>
</file>

<file path=customXml/itemProps9.xml><?xml version="1.0" encoding="utf-8"?>
<ds:datastoreItem xmlns:ds="http://schemas.openxmlformats.org/officeDocument/2006/customXml" ds:itemID="{70B69F54-9FF7-47F1-A0F6-3838E71A5F12}">
  <ds:schemaRefs>
    <ds:schemaRef ds:uri="http://www.i4i.com/ns/x4o/metamap"/>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10704</Words>
  <Characters>61016</Characters>
  <Application>Microsoft Office Word</Application>
  <DocSecurity>0</DocSecurity>
  <Lines>508</Lines>
  <Paragraphs>143</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ENZALUTAMIDE-CAP ERS-Prescriber Kazakhstan ru</vt:lpstr>
      <vt:lpstr>ENZALUTAMIDE-CAP ERS-Prescriber Kazakhstan ru</vt:lpstr>
      <vt:lpstr>ENZALUTAMIDE-CAP ERS-Prescriber Kazakhstan ru</vt:lpstr>
    </vt:vector>
  </TitlesOfParts>
  <Manager>nl2003888</Manager>
  <Company>co</Company>
  <LinksUpToDate>false</LinksUpToDate>
  <CharactersWithSpaces>71577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ENZALUTAMIDE-CAP ERS-Prescriber Kazakhstan ru</dc:title>
  <dc:subject>125726</dc:subject>
  <dc:creator>Игорь Сирахов</dc:creator>
  <cp:keywords>Xtandi 40 mg soft capsules</cp:keywords>
  <dc:description>prepared for post-approval proofreading</dc:description>
  <cp:lastModifiedBy>Акнур А. Шеризатова</cp:lastModifiedBy>
  <cp:revision>2</cp:revision>
  <cp:lastPrinted>2023-04-05T09:30:00Z</cp:lastPrinted>
  <dcterms:created xsi:type="dcterms:W3CDTF">2026-03-17T03:13:00Z</dcterms:created>
  <dcterms:modified xsi:type="dcterms:W3CDTF">2026-03-17T03:13:00Z</dcterms:modified>
  <cp:category>ERS-Prescriber</cp:category>
  <cp:contentStatus>Ready for Approval</cp:contentStatus>
  <dc:language>ru (Russian)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4i:Class">
    <vt:lpwstr>ERS-Prescriber</vt:lpwstr>
  </property>
  <property fmtid="{D5CDD505-2E9C-101B-9397-08002B2CF9AE}" pid="3" name="i4i:Language">
    <vt:lpwstr>ru (Russian)</vt:lpwstr>
  </property>
  <property fmtid="{D5CDD505-2E9C-101B-9397-08002B2CF9AE}" pid="4" name="i4i:MasterClass">
    <vt:lpwstr>ROW</vt:lpwstr>
  </property>
  <property fmtid="{D5CDD505-2E9C-101B-9397-08002B2CF9AE}" pid="5" name="i4i:TemplateVersion">
    <vt:lpwstr>305</vt:lpwstr>
  </property>
  <property fmtid="{D5CDD505-2E9C-101B-9397-08002B2CF9AE}" pid="6" name="i4i:Country">
    <vt:lpwstr>Kazakhstan</vt:lpwstr>
  </property>
  <property fmtid="{D5CDD505-2E9C-101B-9397-08002B2CF9AE}" pid="7" name="i4i:Shading">
    <vt:lpwstr>True</vt:lpwstr>
  </property>
  <property fmtid="{D5CDD505-2E9C-101B-9397-08002B2CF9AE}" pid="8" name="i4i:AuthoringTool">
    <vt:lpwstr>1</vt:lpwstr>
  </property>
  <property fmtid="{D5CDD505-2E9C-101B-9397-08002B2CF9AE}" pid="9" name="i4i:ImportedFromXSL">
    <vt:lpwstr>false</vt:lpwstr>
  </property>
  <property fmtid="{D5CDD505-2E9C-101B-9397-08002B2CF9AE}" pid="10" name="i4i:ToolkitVersion">
    <vt:lpwstr>1</vt:lpwstr>
  </property>
  <property fmtid="{D5CDD505-2E9C-101B-9397-08002B2CF9AE}" pid="11" name="Author">
    <vt:lpwstr>Ashwin Smolders</vt:lpwstr>
  </property>
  <property fmtid="{D5CDD505-2E9C-101B-9397-08002B2CF9AE}" pid="12" name="ComponentType">
    <vt:lpwstr>Component</vt:lpwstr>
  </property>
  <property fmtid="{D5CDD505-2E9C-101B-9397-08002B2CF9AE}" pid="13" name="VersionCreatedBy">
    <vt:lpwstr>a4032434</vt:lpwstr>
  </property>
  <property fmtid="{D5CDD505-2E9C-101B-9397-08002B2CF9AE}" pid="14" name="VersionCreatedOn">
    <vt:lpwstr>2023-01-13T08:38:41Z</vt:lpwstr>
  </property>
  <property fmtid="{D5CDD505-2E9C-101B-9397-08002B2CF9AE}" pid="15" name="Title">
    <vt:lpwstr>ENZALUTAMIDE-CAP ERS-Prescriber Kazakhstan ru</vt:lpwstr>
  </property>
  <property fmtid="{D5CDD505-2E9C-101B-9397-08002B2CF9AE}" pid="16" name="Identifier">
    <vt:lpwstr>125726</vt:lpwstr>
  </property>
  <property fmtid="{D5CDD505-2E9C-101B-9397-08002B2CF9AE}" pid="17" name="Status">
    <vt:lpwstr>Ready for Approval</vt:lpwstr>
  </property>
  <property fmtid="{D5CDD505-2E9C-101B-9397-08002B2CF9AE}" pid="18" name="Version">
    <vt:lpwstr>1.2</vt:lpwstr>
  </property>
  <property fmtid="{D5CDD505-2E9C-101B-9397-08002B2CF9AE}" pid="19" name="FileExtension">
    <vt:lpwstr>docx</vt:lpwstr>
  </property>
  <property fmtid="{D5CDD505-2E9C-101B-9397-08002B2CF9AE}" pid="20" name="CreatedBy">
    <vt:lpwstr>a4021651</vt:lpwstr>
  </property>
  <property fmtid="{D5CDD505-2E9C-101B-9397-08002B2CF9AE}" pid="21" name="ModifiedBy">
    <vt:lpwstr>a4032434</vt:lpwstr>
  </property>
  <property fmtid="{D5CDD505-2E9C-101B-9397-08002B2CF9AE}" pid="22" name="creationdate">
    <vt:lpwstr>2021-08-06T14:25:45Z</vt:lpwstr>
  </property>
  <property fmtid="{D5CDD505-2E9C-101B-9397-08002B2CF9AE}" pid="23" name="CreatedOn">
    <vt:lpwstr>2021-08-06T14:25:45Z</vt:lpwstr>
  </property>
  <property fmtid="{D5CDD505-2E9C-101B-9397-08002B2CF9AE}" pid="24" name="getlastmodified">
    <vt:lpwstr>2023-01-13T08:58:05Z</vt:lpwstr>
  </property>
  <property fmtid="{D5CDD505-2E9C-101B-9397-08002B2CF9AE}" pid="25" name="ModifiedOn">
    <vt:lpwstr>2023-01-13T08:58:05Z</vt:lpwstr>
  </property>
  <property fmtid="{D5CDD505-2E9C-101B-9397-08002B2CF9AE}" pid="26" name="FileName">
    <vt:lpwstr>ENZALUTAMIDE-CAP ERS-Prescriber Kazakhstan ru.docx</vt:lpwstr>
  </property>
  <property fmtid="{D5CDD505-2E9C-101B-9397-08002B2CF9AE}" pid="27" name="checked-out">
    <vt:lpwstr>nl2003888</vt:lpwstr>
  </property>
  <property fmtid="{D5CDD505-2E9C-101B-9397-08002B2CF9AE}" pid="28" name="getcontenttype">
    <vt:lpwstr>application/vnd.openxmlformats-officedocument.wordprocessingml.document</vt:lpwstr>
  </property>
  <property fmtid="{D5CDD505-2E9C-101B-9397-08002B2CF9AE}" pid="29" name="getcontentlength">
    <vt:lpwstr>1129525</vt:lpwstr>
  </property>
  <property fmtid="{D5CDD505-2E9C-101B-9397-08002B2CF9AE}" pid="30" name="checkoutflag">
    <vt:lpwstr>Exclusive</vt:lpwstr>
  </property>
  <property fmtid="{D5CDD505-2E9C-101B-9397-08002B2CF9AE}" pid="31" name="Class">
    <vt:lpwstr>ERS-Prescriber</vt:lpwstr>
  </property>
  <property fmtid="{D5CDD505-2E9C-101B-9397-08002B2CF9AE}" pid="32" name="TemplateVersion">
    <vt:lpwstr>305</vt:lpwstr>
  </property>
  <property fmtid="{D5CDD505-2E9C-101B-9397-08002B2CF9AE}" pid="33" name="CheckedOutByMe">
    <vt:lpwstr>true</vt:lpwstr>
  </property>
  <property fmtid="{D5CDD505-2E9C-101B-9397-08002B2CF9AE}" pid="34" name="CheckedOutOn">
    <vt:lpwstr>2022-09-26T10:38:59Z</vt:lpwstr>
  </property>
  <property fmtid="{D5CDD505-2E9C-101B-9397-08002B2CF9AE}" pid="35" name="i4iAuthoringTool">
    <vt:lpwstr>5</vt:lpwstr>
  </property>
  <property fmtid="{D5CDD505-2E9C-101B-9397-08002B2CF9AE}" pid="36" name="MasterClass">
    <vt:lpwstr>ROW</vt:lpwstr>
  </property>
  <property fmtid="{D5CDD505-2E9C-101B-9397-08002B2CF9AE}" pid="37" name="Language">
    <vt:lpwstr>ru (Russian)</vt:lpwstr>
  </property>
  <property fmtid="{D5CDD505-2E9C-101B-9397-08002B2CF9AE}" pid="38" name="HasTrackChanges">
    <vt:lpwstr>Yes</vt:lpwstr>
  </property>
  <property fmtid="{D5CDD505-2E9C-101B-9397-08002B2CF9AE}" pid="39" name="Country">
    <vt:lpwstr>Kazakhstan</vt:lpwstr>
  </property>
  <property fmtid="{D5CDD505-2E9C-101B-9397-08002B2CF9AE}" pid="40" name="Brand_name">
    <vt:lpwstr>Xtandi 40 mg soft capsules</vt:lpwstr>
  </property>
  <property fmtid="{D5CDD505-2E9C-101B-9397-08002B2CF9AE}" pid="41" name="Cmab_revision">
    <vt:lpwstr>6</vt:lpwstr>
  </property>
  <property fmtid="{D5CDD505-2E9C-101B-9397-08002B2CF9AE}" pid="42" name="Dosage_form">
    <vt:lpwstr>Capsule, Soft</vt:lpwstr>
  </property>
  <property fmtid="{D5CDD505-2E9C-101B-9397-08002B2CF9AE}" pid="43" name="EU_Dosage_strength">
    <vt:lpwstr>40 mg</vt:lpwstr>
  </property>
  <property fmtid="{D5CDD505-2E9C-101B-9397-08002B2CF9AE}" pid="44" name="Generic_name">
    <vt:lpwstr>Enzalutamide</vt:lpwstr>
  </property>
  <property fmtid="{D5CDD505-2E9C-101B-9397-08002B2CF9AE}" pid="45" name="Application_type">
    <vt:lpwstr>NAP</vt:lpwstr>
  </property>
  <property fmtid="{D5CDD505-2E9C-101B-9397-08002B2CF9AE}" pid="46" name="BSPGenericCarryForwardTrue1">
    <vt:lpwstr>Prescriber Information</vt:lpwstr>
  </property>
  <property fmtid="{D5CDD505-2E9C-101B-9397-08002B2CF9AE}" pid="47" name="BSPGenericCarryForwardTrue2">
    <vt:lpwstr>ENZALUTAMIDE-CAP</vt:lpwstr>
  </property>
  <property fmtid="{D5CDD505-2E9C-101B-9397-08002B2CF9AE}" pid="48" name="BSPGenericCarryForwardTrue9">
    <vt:lpwstr>ENZA-00006560</vt:lpwstr>
  </property>
  <property fmtid="{D5CDD505-2E9C-101B-9397-08002B2CF9AE}" pid="49" name="BSPGenericCarryForwardTrue14">
    <vt:lpwstr>EMEA</vt:lpwstr>
  </property>
  <property fmtid="{D5CDD505-2E9C-101B-9397-08002B2CF9AE}" pid="50" name="BSPGenericCarryForwardTrue15">
    <vt:lpwstr>Russia and CIS</vt:lpwstr>
  </property>
  <property fmtid="{D5CDD505-2E9C-101B-9397-08002B2CF9AE}" pid="51" name="GL_jurisdiction">
    <vt:lpwstr>Kazakhstan</vt:lpwstr>
  </property>
  <property fmtid="{D5CDD505-2E9C-101B-9397-08002B2CF9AE}" pid="52" name="GL_PICID">
    <vt:lpwstr>125568</vt:lpwstr>
  </property>
  <property fmtid="{D5CDD505-2E9C-101B-9397-08002B2CF9AE}" pid="53" name="GL_PICVerID">
    <vt:lpwstr>125570</vt:lpwstr>
  </property>
  <property fmtid="{D5CDD505-2E9C-101B-9397-08002B2CF9AE}" pid="54" name="BaseDocId">
    <vt:lpwstr>125726</vt:lpwstr>
  </property>
  <property fmtid="{D5CDD505-2E9C-101B-9397-08002B2CF9AE}" pid="55" name="AliceSecurityAccessRights">
    <vt:lpwstr>100,150,200,201,202,203,205,206,207,208,209,210,214,215,217,219,222,223,225,226,228,229,237,238,239,241,242,243,244,247,248,253,254,263,267,268,270,274,275,276,281,282,283,308,310,311,314,317,318,327,328,329,330,339,341,346,355,356,357,358,368,382,383,397</vt:lpwstr>
  </property>
  <property fmtid="{D5CDD505-2E9C-101B-9397-08002B2CF9AE}" pid="56" name="displayname">
    <vt:lpwstr>ENZALUTAMIDE-CAP ERS-Prescriber Kazakhstan ru</vt:lpwstr>
  </property>
  <property fmtid="{D5CDD505-2E9C-101B-9397-08002B2CF9AE}" pid="57" name="HeadingFileVersion">
    <vt:lpwstr>1.0</vt:lpwstr>
  </property>
  <property fmtid="{D5CDD505-2E9C-101B-9397-08002B2CF9AE}" pid="58" name="MultiLangVersion">
    <vt:lpwstr>1.0</vt:lpwstr>
  </property>
  <property fmtid="{D5CDD505-2E9C-101B-9397-08002B2CF9AE}" pid="59" name="constrain-results">
    <vt:lpwstr>yes</vt:lpwstr>
  </property>
  <property fmtid="{D5CDD505-2E9C-101B-9397-08002B2CF9AE}" pid="60" name="Translated">
    <vt:lpwstr>125574</vt:lpwstr>
  </property>
  <property fmtid="{D5CDD505-2E9C-101B-9397-08002B2CF9AE}" pid="61" name="Translation_status">
    <vt:lpwstr>Not Translated</vt:lpwstr>
  </property>
  <property fmtid="{D5CDD505-2E9C-101B-9397-08002B2CF9AE}" pid="62" name="Translation_language">
    <vt:lpwstr>ru (Russian)</vt:lpwstr>
  </property>
  <property fmtid="{D5CDD505-2E9C-101B-9397-08002B2CF9AE}" pid="63" name="IsTranslation">
    <vt:lpwstr>translation</vt:lpwstr>
  </property>
  <property fmtid="{D5CDD505-2E9C-101B-9397-08002B2CF9AE}" pid="64" name="TranslatedVersionId">
    <vt:lpwstr>125711</vt:lpwstr>
  </property>
  <property fmtid="{D5CDD505-2E9C-101B-9397-08002B2CF9AE}" pid="65" name="submission_generated">
    <vt:lpwstr>false</vt:lpwstr>
  </property>
  <property fmtid="{D5CDD505-2E9C-101B-9397-08002B2CF9AE}" pid="66" name="Translation_country">
    <vt:lpwstr>Kazakhstan</vt:lpwstr>
  </property>
  <property fmtid="{D5CDD505-2E9C-101B-9397-08002B2CF9AE}" pid="67" name="DashboardSpecific">
    <vt:lpwstr>translation</vt:lpwstr>
  </property>
  <property fmtid="{D5CDD505-2E9C-101B-9397-08002B2CF9AE}" pid="68" name="HasBeenApproved">
    <vt:lpwstr>null</vt:lpwstr>
  </property>
  <property fmtid="{D5CDD505-2E9C-101B-9397-08002B2CF9AE}" pid="69" name="Version_Comment">
    <vt:lpwstr>prepared for post-approval proofreading</vt:lpwstr>
  </property>
  <property fmtid="{D5CDD505-2E9C-101B-9397-08002B2CF9AE}" pid="70" name="IDMPStatus">
    <vt:lpwstr>Not Tagged</vt:lpwstr>
  </property>
  <property fmtid="{D5CDD505-2E9C-101B-9397-08002B2CF9AE}" pid="71" name="BSPGenericCarryForwardFalse1">
    <vt:lpwstr>False</vt:lpwstr>
  </property>
  <property fmtid="{D5CDD505-2E9C-101B-9397-08002B2CF9AE}" pid="72" name="ContentTypeId">
    <vt:lpwstr>0x010100208C0351BEE5C3468A085A535416F741004513FD7AA8692341AA5BFBFC89F0B903</vt:lpwstr>
  </property>
  <property fmtid="{D5CDD505-2E9C-101B-9397-08002B2CF9AE}" pid="73" name="PropertyCleanupString">
    <vt:lpwstr>111</vt:lpwstr>
  </property>
  <property fmtid="{D5CDD505-2E9C-101B-9397-08002B2CF9AE}" pid="74" name="MadeReviewableBy">
    <vt:lpwstr>a4032434</vt:lpwstr>
  </property>
  <property fmtid="{D5CDD505-2E9C-101B-9397-08002B2CF9AE}" pid="75" name="MadeReviewableOn">
    <vt:lpwstr>2023-01-13 08:57:58</vt:lpwstr>
  </property>
  <property fmtid="{D5CDD505-2E9C-101B-9397-08002B2CF9AE}" pid="76" name="ReviewedBy">
    <vt:lpwstr>a4032434</vt:lpwstr>
  </property>
  <property fmtid="{D5CDD505-2E9C-101B-9397-08002B2CF9AE}" pid="77" name="ReviewedOn">
    <vt:lpwstr>2023-01-13 08:58:05</vt:lpwstr>
  </property>
</Properties>
</file>